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35C6" w:rsidRPr="00991DEE" w:rsidRDefault="007E35C6" w:rsidP="004A4915">
      <w:pPr>
        <w:spacing w:line="240" w:lineRule="auto"/>
        <w:ind w:left="32"/>
        <w:jc w:val="center"/>
        <w:rPr>
          <w:rFonts w:hint="cs"/>
          <w:b/>
          <w:bCs/>
          <w:sz w:val="36"/>
          <w:szCs w:val="36"/>
          <w:rtl/>
        </w:rPr>
      </w:pPr>
      <w:r w:rsidRPr="00991DEE">
        <w:rPr>
          <w:rFonts w:hint="cs"/>
          <w:b/>
          <w:bCs/>
          <w:sz w:val="36"/>
          <w:szCs w:val="36"/>
          <w:rtl/>
        </w:rPr>
        <w:t>הנחיות הממונה על הגבלים עסקיים</w:t>
      </w:r>
    </w:p>
    <w:p w:rsidR="00764914" w:rsidRPr="00991DEE" w:rsidRDefault="007E35C6" w:rsidP="004A4915">
      <w:pPr>
        <w:spacing w:line="240" w:lineRule="auto"/>
        <w:ind w:left="32"/>
        <w:jc w:val="center"/>
        <w:rPr>
          <w:b/>
          <w:bCs/>
          <w:sz w:val="36"/>
          <w:szCs w:val="36"/>
          <w:u w:val="single"/>
        </w:rPr>
      </w:pPr>
      <w:r w:rsidRPr="00991DEE">
        <w:rPr>
          <w:rFonts w:hint="cs"/>
          <w:b/>
          <w:bCs/>
          <w:sz w:val="36"/>
          <w:szCs w:val="36"/>
          <w:rtl/>
        </w:rPr>
        <w:t>לגבי הליכי הדיווח והבדיקה ש</w:t>
      </w:r>
      <w:r w:rsidR="00764914" w:rsidRPr="00991DEE">
        <w:rPr>
          <w:rFonts w:hint="cs"/>
          <w:b/>
          <w:bCs/>
          <w:sz w:val="36"/>
          <w:szCs w:val="36"/>
          <w:rtl/>
        </w:rPr>
        <w:t>ל מיזוגי חברות</w:t>
      </w:r>
    </w:p>
    <w:p w:rsidR="007E35C6" w:rsidRPr="00991DEE" w:rsidRDefault="007E35C6" w:rsidP="004A4915">
      <w:pPr>
        <w:spacing w:line="240" w:lineRule="auto"/>
        <w:ind w:left="32"/>
        <w:jc w:val="center"/>
        <w:rPr>
          <w:rFonts w:hint="cs"/>
          <w:b/>
          <w:bCs/>
          <w:sz w:val="36"/>
          <w:szCs w:val="36"/>
          <w:rtl/>
        </w:rPr>
      </w:pPr>
      <w:r w:rsidRPr="00991DEE">
        <w:rPr>
          <w:rFonts w:hint="cs"/>
          <w:b/>
          <w:bCs/>
          <w:sz w:val="36"/>
          <w:szCs w:val="36"/>
          <w:rtl/>
        </w:rPr>
        <w:t xml:space="preserve">לפי חוק ההגבלים העסקיים, התשמ"ח </w:t>
      </w:r>
      <w:r w:rsidRPr="00991DEE">
        <w:rPr>
          <w:b/>
          <w:bCs/>
          <w:sz w:val="36"/>
          <w:szCs w:val="36"/>
          <w:rtl/>
        </w:rPr>
        <w:t>–</w:t>
      </w:r>
      <w:r w:rsidRPr="00991DEE">
        <w:rPr>
          <w:rFonts w:hint="cs"/>
          <w:b/>
          <w:bCs/>
          <w:sz w:val="36"/>
          <w:szCs w:val="36"/>
          <w:rtl/>
        </w:rPr>
        <w:t xml:space="preserve"> 1988</w:t>
      </w:r>
    </w:p>
    <w:p w:rsidR="007E35C6" w:rsidRPr="008F76DA" w:rsidRDefault="004D66A9" w:rsidP="008F76DA">
      <w:pPr>
        <w:rPr>
          <w:rFonts w:ascii="Arial" w:hAnsi="Arial" w:cs="Arial"/>
          <w:b/>
          <w:bCs/>
          <w:sz w:val="28"/>
          <w:szCs w:val="28"/>
          <w:rtl/>
        </w:rPr>
      </w:pPr>
      <w:r w:rsidRPr="00991DEE">
        <w:rPr>
          <w:rFonts w:hint="cs"/>
          <w:b/>
          <w:bCs/>
          <w:noProof/>
          <w:sz w:val="36"/>
          <w:szCs w:val="36"/>
          <w:lang w:eastAsia="en-US"/>
        </w:rPr>
        <mc:AlternateContent>
          <mc:Choice Requires="wps">
            <w:drawing>
              <wp:anchor distT="0" distB="0" distL="114300" distR="114300" simplePos="0" relativeHeight="251659776" behindDoc="0" locked="0" layoutInCell="1" allowOverlap="1">
                <wp:simplePos x="0" y="0"/>
                <wp:positionH relativeFrom="column">
                  <wp:posOffset>-342900</wp:posOffset>
                </wp:positionH>
                <wp:positionV relativeFrom="paragraph">
                  <wp:posOffset>390525</wp:posOffset>
                </wp:positionV>
                <wp:extent cx="5943600" cy="7397115"/>
                <wp:effectExtent l="7620" t="9525" r="11430" b="13335"/>
                <wp:wrapSquare wrapText="bothSides"/>
                <wp:docPr id="10"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7397115"/>
                        </a:xfrm>
                        <a:prstGeom prst="rect">
                          <a:avLst/>
                        </a:prstGeom>
                        <a:solidFill>
                          <a:srgbClr val="FFFFFF"/>
                        </a:solidFill>
                        <a:ln w="9525">
                          <a:solidFill>
                            <a:srgbClr val="000000"/>
                          </a:solidFill>
                          <a:miter lim="800000"/>
                          <a:headEnd/>
                          <a:tailEnd/>
                        </a:ln>
                      </wps:spPr>
                      <wps:txbx>
                        <w:txbxContent>
                          <w:p w:rsidR="00293CD3" w:rsidRPr="00991DEE" w:rsidRDefault="00293CD3" w:rsidP="004A4915">
                            <w:pPr>
                              <w:jc w:val="center"/>
                              <w:rPr>
                                <w:rFonts w:hint="cs"/>
                                <w:b/>
                                <w:bCs/>
                                <w:sz w:val="36"/>
                                <w:szCs w:val="36"/>
                                <w:u w:val="single"/>
                                <w:rtl/>
                              </w:rPr>
                            </w:pPr>
                            <w:r w:rsidRPr="00991DEE">
                              <w:rPr>
                                <w:rFonts w:hint="cs"/>
                                <w:b/>
                                <w:bCs/>
                                <w:sz w:val="36"/>
                                <w:szCs w:val="36"/>
                                <w:u w:val="single"/>
                                <w:rtl/>
                              </w:rPr>
                              <w:t>הבהרה</w:t>
                            </w:r>
                          </w:p>
                          <w:p w:rsidR="00293CD3" w:rsidRPr="00764914" w:rsidRDefault="00293CD3" w:rsidP="00C34DF4">
                            <w:pPr>
                              <w:numPr>
                                <w:ilvl w:val="0"/>
                                <w:numId w:val="20"/>
                              </w:numPr>
                              <w:tabs>
                                <w:tab w:val="clear" w:pos="720"/>
                                <w:tab w:val="num" w:pos="960"/>
                              </w:tabs>
                              <w:ind w:left="960" w:right="900"/>
                              <w:rPr>
                                <w:rFonts w:hint="cs"/>
                                <w:sz w:val="26"/>
                                <w:szCs w:val="26"/>
                                <w:rtl/>
                              </w:rPr>
                            </w:pPr>
                            <w:r w:rsidRPr="00764914">
                              <w:rPr>
                                <w:rFonts w:hint="cs"/>
                                <w:sz w:val="26"/>
                                <w:szCs w:val="26"/>
                                <w:rtl/>
                              </w:rPr>
                              <w:t>מסמך זה נועד לספק הנחיה כללית (כפי שתתפרסם מעת לעת) בדבר ה</w:t>
                            </w:r>
                            <w:r>
                              <w:rPr>
                                <w:rFonts w:hint="cs"/>
                                <w:sz w:val="26"/>
                                <w:szCs w:val="26"/>
                                <w:rtl/>
                              </w:rPr>
                              <w:t>מדיניות והפרשנות</w:t>
                            </w:r>
                            <w:r w:rsidRPr="00764914">
                              <w:rPr>
                                <w:rFonts w:hint="cs"/>
                                <w:sz w:val="26"/>
                                <w:szCs w:val="26"/>
                                <w:rtl/>
                              </w:rPr>
                              <w:t xml:space="preserve"> </w:t>
                            </w:r>
                            <w:r>
                              <w:rPr>
                                <w:rFonts w:hint="cs"/>
                                <w:sz w:val="26"/>
                                <w:szCs w:val="26"/>
                                <w:rtl/>
                              </w:rPr>
                              <w:t>הננקטות על ידי</w:t>
                            </w:r>
                            <w:r w:rsidRPr="00764914">
                              <w:rPr>
                                <w:rFonts w:hint="cs"/>
                                <w:sz w:val="26"/>
                                <w:szCs w:val="26"/>
                                <w:rtl/>
                              </w:rPr>
                              <w:t xml:space="preserve"> רשות ההגבלים העסקיים</w:t>
                            </w:r>
                            <w:r>
                              <w:rPr>
                                <w:rFonts w:hint="cs"/>
                                <w:sz w:val="26"/>
                                <w:szCs w:val="26"/>
                                <w:rtl/>
                              </w:rPr>
                              <w:t>,</w:t>
                            </w:r>
                            <w:r w:rsidRPr="00764914">
                              <w:rPr>
                                <w:rFonts w:hint="cs"/>
                                <w:sz w:val="26"/>
                                <w:szCs w:val="26"/>
                                <w:rtl/>
                              </w:rPr>
                              <w:t xml:space="preserve"> באשר לעניינים שונים הנוגעים למעטפת הפרוצדורלית של פרק המיזוגים בחוק ההגבלים העסקיים</w:t>
                            </w:r>
                            <w:r>
                              <w:rPr>
                                <w:rFonts w:hint="cs"/>
                                <w:sz w:val="26"/>
                                <w:szCs w:val="26"/>
                                <w:rtl/>
                              </w:rPr>
                              <w:t xml:space="preserve">, התשמ"ח </w:t>
                            </w:r>
                            <w:r>
                              <w:rPr>
                                <w:sz w:val="26"/>
                                <w:szCs w:val="26"/>
                                <w:rtl/>
                              </w:rPr>
                              <w:t>–</w:t>
                            </w:r>
                            <w:r>
                              <w:rPr>
                                <w:rFonts w:hint="cs"/>
                                <w:sz w:val="26"/>
                                <w:szCs w:val="26"/>
                                <w:rtl/>
                              </w:rPr>
                              <w:t xml:space="preserve"> 1988 (להלן גם: "</w:t>
                            </w:r>
                            <w:r w:rsidRPr="00906C97">
                              <w:rPr>
                                <w:rFonts w:hint="cs"/>
                                <w:b/>
                                <w:bCs/>
                                <w:sz w:val="26"/>
                                <w:szCs w:val="26"/>
                                <w:rtl/>
                              </w:rPr>
                              <w:t>החוק</w:t>
                            </w:r>
                            <w:r>
                              <w:rPr>
                                <w:rFonts w:hint="cs"/>
                                <w:sz w:val="26"/>
                                <w:szCs w:val="26"/>
                                <w:rtl/>
                              </w:rPr>
                              <w:t>" או "</w:t>
                            </w:r>
                            <w:r w:rsidRPr="00906C97">
                              <w:rPr>
                                <w:rFonts w:hint="cs"/>
                                <w:b/>
                                <w:bCs/>
                                <w:sz w:val="26"/>
                                <w:szCs w:val="26"/>
                                <w:rtl/>
                              </w:rPr>
                              <w:t>חוק ההגבלים העסקיים</w:t>
                            </w:r>
                            <w:r>
                              <w:rPr>
                                <w:rFonts w:hint="cs"/>
                                <w:sz w:val="26"/>
                                <w:szCs w:val="26"/>
                                <w:rtl/>
                              </w:rPr>
                              <w:t>")</w:t>
                            </w:r>
                            <w:r w:rsidRPr="00764914">
                              <w:rPr>
                                <w:rFonts w:hint="cs"/>
                                <w:sz w:val="26"/>
                                <w:szCs w:val="26"/>
                                <w:rtl/>
                              </w:rPr>
                              <w:t xml:space="preserve">. </w:t>
                            </w:r>
                          </w:p>
                          <w:p w:rsidR="00293CD3" w:rsidRPr="00764914" w:rsidRDefault="00293CD3" w:rsidP="00C34DF4">
                            <w:pPr>
                              <w:numPr>
                                <w:ilvl w:val="0"/>
                                <w:numId w:val="20"/>
                              </w:numPr>
                              <w:tabs>
                                <w:tab w:val="clear" w:pos="720"/>
                                <w:tab w:val="num" w:pos="960"/>
                              </w:tabs>
                              <w:ind w:left="960" w:right="900"/>
                              <w:rPr>
                                <w:rFonts w:hint="cs"/>
                                <w:sz w:val="26"/>
                                <w:szCs w:val="26"/>
                              </w:rPr>
                            </w:pPr>
                            <w:r w:rsidRPr="00764914">
                              <w:rPr>
                                <w:rFonts w:hint="cs"/>
                                <w:sz w:val="26"/>
                                <w:szCs w:val="26"/>
                                <w:rtl/>
                              </w:rPr>
                              <w:t>מסמך זה מטפל במספר סוגיות נבחרות הנוגעות להחלת הוראות פרק המיזוגים שבחוק. אין בו למצות את קשת המצבים, העניינים והסוגיות הנוגעים ל</w:t>
                            </w:r>
                            <w:r>
                              <w:rPr>
                                <w:rFonts w:hint="cs"/>
                                <w:sz w:val="26"/>
                                <w:szCs w:val="26"/>
                                <w:rtl/>
                              </w:rPr>
                              <w:t>מדיניות רשות ההגבלים העסקיים ביחס ל</w:t>
                            </w:r>
                            <w:r w:rsidRPr="00764914">
                              <w:rPr>
                                <w:rFonts w:hint="cs"/>
                                <w:sz w:val="26"/>
                                <w:szCs w:val="26"/>
                                <w:rtl/>
                              </w:rPr>
                              <w:t>פרק המיזוגים</w:t>
                            </w:r>
                            <w:r>
                              <w:rPr>
                                <w:rFonts w:hint="cs"/>
                                <w:sz w:val="26"/>
                                <w:szCs w:val="26"/>
                                <w:rtl/>
                              </w:rPr>
                              <w:t>, ולפרשנות הננקטת על ידה</w:t>
                            </w:r>
                            <w:r w:rsidRPr="00764914">
                              <w:rPr>
                                <w:rFonts w:hint="cs"/>
                                <w:sz w:val="26"/>
                                <w:szCs w:val="26"/>
                                <w:rtl/>
                              </w:rPr>
                              <w:t xml:space="preserve">. </w:t>
                            </w:r>
                            <w:r>
                              <w:rPr>
                                <w:rFonts w:hint="cs"/>
                                <w:sz w:val="26"/>
                                <w:szCs w:val="26"/>
                                <w:rtl/>
                              </w:rPr>
                              <w:t xml:space="preserve">מסמך זה בא לרכז ולהוסיף על האמור בהחלטות קודמות שניתנו על ידי הממונה על הגבלים עסקיים ואין בו להחליף, לגרוע או לשנות מן האמור בהן. </w:t>
                            </w:r>
                          </w:p>
                          <w:p w:rsidR="00293CD3" w:rsidRDefault="00293CD3" w:rsidP="00C34DF4">
                            <w:pPr>
                              <w:numPr>
                                <w:ilvl w:val="0"/>
                                <w:numId w:val="20"/>
                              </w:numPr>
                              <w:tabs>
                                <w:tab w:val="clear" w:pos="720"/>
                                <w:tab w:val="num" w:pos="960"/>
                              </w:tabs>
                              <w:ind w:left="960" w:right="900"/>
                              <w:rPr>
                                <w:rFonts w:hint="cs"/>
                                <w:sz w:val="26"/>
                                <w:szCs w:val="26"/>
                              </w:rPr>
                            </w:pPr>
                            <w:r w:rsidRPr="00764914">
                              <w:rPr>
                                <w:rFonts w:hint="cs"/>
                                <w:sz w:val="26"/>
                                <w:szCs w:val="26"/>
                                <w:rtl/>
                              </w:rPr>
                              <w:t xml:space="preserve">אין במסמך זה משום תחליף לייעוץ משפטי ואין בו לגרוע, לשנות או לבטל מן האמור בחוק ההגבלים העסקיים, בתקנות שהותקנו מכוחו או בצווים, הוראות ותנאים שניתנו לפיו. </w:t>
                            </w:r>
                            <w:r>
                              <w:rPr>
                                <w:rFonts w:hint="cs"/>
                                <w:sz w:val="26"/>
                                <w:szCs w:val="26"/>
                                <w:rtl/>
                              </w:rPr>
                              <w:t>למען הסר ספק, לא ניתן להסתמך על ההנחיות, מקום בו</w:t>
                            </w:r>
                            <w:r w:rsidRPr="00764914">
                              <w:rPr>
                                <w:rFonts w:hint="cs"/>
                                <w:sz w:val="26"/>
                                <w:szCs w:val="26"/>
                                <w:rtl/>
                              </w:rPr>
                              <w:t xml:space="preserve"> תוצאת </w:t>
                            </w:r>
                            <w:r>
                              <w:rPr>
                                <w:rFonts w:hint="cs"/>
                                <w:sz w:val="26"/>
                                <w:szCs w:val="26"/>
                                <w:rtl/>
                              </w:rPr>
                              <w:t>ההסתמכות</w:t>
                            </w:r>
                            <w:r w:rsidRPr="00764914">
                              <w:rPr>
                                <w:rFonts w:hint="cs"/>
                                <w:sz w:val="26"/>
                                <w:szCs w:val="26"/>
                                <w:rtl/>
                              </w:rPr>
                              <w:t xml:space="preserve">, במקרה קונקרטי, היא שינוי, גריעה או ביטול של צו, הוראה או תנאי שניתנו מכוח דיני ההגבלים העסקיים. </w:t>
                            </w:r>
                          </w:p>
                          <w:p w:rsidR="00293CD3" w:rsidRDefault="00293CD3" w:rsidP="00544158">
                            <w:pPr>
                              <w:numPr>
                                <w:ilvl w:val="0"/>
                                <w:numId w:val="20"/>
                              </w:numPr>
                              <w:tabs>
                                <w:tab w:val="clear" w:pos="720"/>
                                <w:tab w:val="num" w:pos="960"/>
                              </w:tabs>
                              <w:ind w:left="960" w:right="900"/>
                              <w:rPr>
                                <w:rFonts w:hint="cs"/>
                                <w:sz w:val="26"/>
                                <w:szCs w:val="26"/>
                              </w:rPr>
                            </w:pPr>
                            <w:r w:rsidRPr="00764914">
                              <w:rPr>
                                <w:rFonts w:hint="cs"/>
                                <w:sz w:val="26"/>
                                <w:szCs w:val="26"/>
                                <w:rtl/>
                              </w:rPr>
                              <w:t xml:space="preserve">עמדתה הכללית של </w:t>
                            </w:r>
                            <w:r>
                              <w:rPr>
                                <w:rFonts w:hint="cs"/>
                                <w:sz w:val="26"/>
                                <w:szCs w:val="26"/>
                                <w:rtl/>
                              </w:rPr>
                              <w:t>רשות ההגבלים העסקיים</w:t>
                            </w:r>
                            <w:r w:rsidRPr="00764914">
                              <w:rPr>
                                <w:rFonts w:hint="cs"/>
                                <w:sz w:val="26"/>
                                <w:szCs w:val="26"/>
                                <w:rtl/>
                              </w:rPr>
                              <w:t xml:space="preserve"> המובאת כאן לא תחול מקום בו נמסרה עמדה </w:t>
                            </w:r>
                            <w:r>
                              <w:rPr>
                                <w:rFonts w:hint="cs"/>
                                <w:sz w:val="26"/>
                                <w:szCs w:val="26"/>
                                <w:rtl/>
                              </w:rPr>
                              <w:t xml:space="preserve">קונקרטית </w:t>
                            </w:r>
                            <w:r w:rsidRPr="00764914">
                              <w:rPr>
                                <w:rFonts w:hint="cs"/>
                                <w:sz w:val="26"/>
                                <w:szCs w:val="26"/>
                                <w:rtl/>
                              </w:rPr>
                              <w:t xml:space="preserve">במקרה </w:t>
                            </w:r>
                            <w:r>
                              <w:rPr>
                                <w:rFonts w:hint="cs"/>
                                <w:sz w:val="26"/>
                                <w:szCs w:val="26"/>
                                <w:rtl/>
                              </w:rPr>
                              <w:t>מסוים</w:t>
                            </w:r>
                            <w:r w:rsidRPr="00764914">
                              <w:rPr>
                                <w:rFonts w:hint="cs"/>
                                <w:sz w:val="26"/>
                                <w:szCs w:val="26"/>
                                <w:rtl/>
                              </w:rPr>
                              <w:t xml:space="preserve">. </w:t>
                            </w:r>
                            <w:r>
                              <w:rPr>
                                <w:rFonts w:hint="cs"/>
                                <w:sz w:val="26"/>
                                <w:szCs w:val="26"/>
                                <w:rtl/>
                              </w:rPr>
                              <w:t xml:space="preserve">ככל שלא נאמר אחרת בגוף ההנחיה, הסתמכות על עמדת הרשות המובאת במסמך זה אינה טעונה פניה מוקדמת לרשות.   </w:t>
                            </w:r>
                          </w:p>
                          <w:p w:rsidR="00293CD3" w:rsidRPr="00764914" w:rsidRDefault="00293CD3" w:rsidP="00A548B2">
                            <w:pPr>
                              <w:numPr>
                                <w:ilvl w:val="0"/>
                                <w:numId w:val="20"/>
                              </w:numPr>
                              <w:tabs>
                                <w:tab w:val="clear" w:pos="720"/>
                                <w:tab w:val="num" w:pos="960"/>
                              </w:tabs>
                              <w:ind w:left="960" w:right="900"/>
                              <w:rPr>
                                <w:rFonts w:hint="cs"/>
                                <w:sz w:val="26"/>
                                <w:szCs w:val="26"/>
                              </w:rPr>
                            </w:pPr>
                            <w:r>
                              <w:rPr>
                                <w:rFonts w:hint="cs"/>
                                <w:sz w:val="26"/>
                                <w:szCs w:val="26"/>
                                <w:rtl/>
                              </w:rPr>
                              <w:t xml:space="preserve">פועלה של הנחיה זו הוא ביחסי הפרט והרשות בלבד ואין היא בעלת תוקף מחייב במשפט הפרטי. משכך, הנחיה זו אינה גורעת מן הזכויות המוקנות לכל אדם לפי דין, לרבות הזכות לתקוף בערכאות חוקיות פעולה שנעשתה בהסתמך על הנחיות אלה.      </w:t>
                            </w:r>
                          </w:p>
                          <w:p w:rsidR="00293CD3" w:rsidRPr="00764914" w:rsidRDefault="00293CD3" w:rsidP="00C34DF4">
                            <w:pPr>
                              <w:numPr>
                                <w:ilvl w:val="0"/>
                                <w:numId w:val="20"/>
                              </w:numPr>
                              <w:tabs>
                                <w:tab w:val="clear" w:pos="720"/>
                                <w:tab w:val="num" w:pos="960"/>
                              </w:tabs>
                              <w:ind w:left="960" w:right="900"/>
                              <w:rPr>
                                <w:rFonts w:hint="cs"/>
                                <w:sz w:val="26"/>
                                <w:szCs w:val="26"/>
                              </w:rPr>
                            </w:pPr>
                            <w:r w:rsidRPr="00764914">
                              <w:rPr>
                                <w:rFonts w:hint="cs"/>
                                <w:sz w:val="26"/>
                                <w:szCs w:val="26"/>
                                <w:rtl/>
                              </w:rPr>
                              <w:t>הנוסח העדכני של מסמך זה הוא זה המתפרסם באותה עת באתר האינטרנט של רשות ההגבלים העסקיים</w:t>
                            </w:r>
                            <w:r>
                              <w:rPr>
                                <w:rFonts w:hint="cs"/>
                                <w:sz w:val="26"/>
                                <w:szCs w:val="26"/>
                                <w:rtl/>
                              </w:rPr>
                              <w:t xml:space="preserve"> (להלן גם : "</w:t>
                            </w:r>
                            <w:r w:rsidRPr="00906C97">
                              <w:rPr>
                                <w:rFonts w:hint="cs"/>
                                <w:b/>
                                <w:bCs/>
                                <w:sz w:val="26"/>
                                <w:szCs w:val="26"/>
                                <w:rtl/>
                              </w:rPr>
                              <w:t>הרשות</w:t>
                            </w:r>
                            <w:r>
                              <w:rPr>
                                <w:rFonts w:hint="cs"/>
                                <w:sz w:val="26"/>
                                <w:szCs w:val="26"/>
                                <w:rtl/>
                              </w:rPr>
                              <w:t>")</w:t>
                            </w:r>
                            <w:r w:rsidRPr="00764914">
                              <w:rPr>
                                <w:rFonts w:hint="cs"/>
                                <w:sz w:val="26"/>
                                <w:szCs w:val="26"/>
                                <w:rtl/>
                              </w:rPr>
                              <w:t xml:space="preserve">. </w:t>
                            </w:r>
                          </w:p>
                          <w:p w:rsidR="00293CD3" w:rsidRDefault="00293CD3" w:rsidP="004A4915">
                            <w:pPr>
                              <w:ind w:right="900"/>
                              <w:rPr>
                                <w:rFonts w:hint="cs"/>
                                <w:sz w:val="28"/>
                                <w:szCs w:val="28"/>
                                <w:rtl/>
                              </w:rPr>
                            </w:pPr>
                          </w:p>
                          <w:p w:rsidR="00293CD3" w:rsidRPr="009812A8" w:rsidRDefault="00293CD3" w:rsidP="00191AC5">
                            <w:pPr>
                              <w:ind w:left="360"/>
                              <w:rPr>
                                <w:rFonts w:hint="cs"/>
                                <w:sz w:val="28"/>
                                <w:szCs w:val="28"/>
                              </w:rPr>
                            </w:pPr>
                          </w:p>
                          <w:p w:rsidR="00293CD3" w:rsidRDefault="00293CD3" w:rsidP="009812A8">
                            <w:pPr>
                              <w:ind w:left="360"/>
                              <w:rPr>
                                <w:rFonts w:hint="cs"/>
                                <w:rtl/>
                              </w:rPr>
                            </w:pPr>
                            <w:r>
                              <w:rPr>
                                <w:rFonts w:hint="cs"/>
                                <w:rt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9" o:spid="_x0000_s1026" type="#_x0000_t202" style="position:absolute;left:0;text-align:left;margin-left:-27pt;margin-top:30.75pt;width:468pt;height:582.4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zSWLgIAAFoEAAAOAAAAZHJzL2Uyb0RvYy54bWysVNtu2zAMfR+wfxD0vjhOk6Yx4hRdugwD&#10;ugvQ7gNkWbaFSaImKbG7ry8lp2l2exnmB0EUqcOjQ9Lr60ErchDOSzAlzSdTSoThUEvTlvTrw+7N&#10;FSU+MFMzBUaU9FF4er15/Wrd20LMoANVC0cQxPiityXtQrBFlnneCc38BKww6GzAaRbQdG1WO9Yj&#10;ulbZbDq9zHpwtXXAhfd4ejs66SbhN43g4XPTeBGIKilyC2l1aa3imm3WrGgds53kRxrsH1hoJg0m&#10;PUHdssDI3snfoLTkDjw0YcJBZ9A0kov0BnxNPv3lNfcdsyK9BcXx9iST/3+w/NPhiyOyxtqhPIZp&#10;rNGDGAJ5CwPJV1Gf3voCw+4tBoYBzzE2vdXbO+DfPDGw7ZhpxY1z0HeC1cgvjzezs6sjjo8gVf8R&#10;aszD9gES0NA4HcVDOQiiI5HHU20iF46Hi9X84nKKLo6+5cVqmeeLlIMVz9et8+G9AE3ipqQOi5/g&#10;2eHOh0iHFc8hMZsHJeudVCoZrq22ypEDw0bZpe+I/lOYMqQv6WoxW4wK/BVimr4/QWgZsOOV1CW9&#10;OgWxIur2ztSpHwOTatwjZWWOQkbtRhXDUA2pZsuYIIpcQf2IyjoYGxwHEjcduB+U9NjcJfXf98wJ&#10;StQHg9VZ5fN5nIZkzBfLGRru3FOde5jhCFXSQMm43YZxgvbWybbDTGM/GLjBijYyaf3C6kgfGziV&#10;4DhscULO7RT18kvYPAEAAP//AwBQSwMEFAAGAAgAAAAhAMB+Q8DgAAAACwEAAA8AAABkcnMvZG93&#10;bnJldi54bWxMj8FOwzAMhu9IvENkJC5oS1e6UkrTCSGB4AYDwTVrvLaicUqSdeXtMSc42v70+/ur&#10;zWwHMaEPvSMFq2UCAqlxpqdWwdvr/aIAEaImowdHqOAbA2zq05NKl8Yd6QWnbWwFh1AotYIuxrGU&#10;MjQdWh2WbkTi2955qyOPvpXG6yOH20GmSZJLq3viD50e8a7D5nN7sAqK7HH6CE+Xz+9Nvh+u48XV&#10;9PDllTo/m29vQESc4x8Mv/qsDjU77dyBTBCDgsU64y5RQb5ag2CgKFJe7JhM0zwDWVfyf4f6BwAA&#10;//8DAFBLAQItABQABgAIAAAAIQC2gziS/gAAAOEBAAATAAAAAAAAAAAAAAAAAAAAAABbQ29udGVu&#10;dF9UeXBlc10ueG1sUEsBAi0AFAAGAAgAAAAhADj9If/WAAAAlAEAAAsAAAAAAAAAAAAAAAAALwEA&#10;AF9yZWxzLy5yZWxzUEsBAi0AFAAGAAgAAAAhAHWvNJYuAgAAWgQAAA4AAAAAAAAAAAAAAAAALgIA&#10;AGRycy9lMm9Eb2MueG1sUEsBAi0AFAAGAAgAAAAhAMB+Q8DgAAAACwEAAA8AAAAAAAAAAAAAAAAA&#10;iAQAAGRycy9kb3ducmV2LnhtbFBLBQYAAAAABAAEAPMAAACVBQAAAAA=&#10;">
                <v:textbox>
                  <w:txbxContent>
                    <w:p w:rsidR="00293CD3" w:rsidRPr="00991DEE" w:rsidRDefault="00293CD3" w:rsidP="004A4915">
                      <w:pPr>
                        <w:jc w:val="center"/>
                        <w:rPr>
                          <w:rFonts w:hint="cs"/>
                          <w:b/>
                          <w:bCs/>
                          <w:sz w:val="36"/>
                          <w:szCs w:val="36"/>
                          <w:u w:val="single"/>
                          <w:rtl/>
                        </w:rPr>
                      </w:pPr>
                      <w:r w:rsidRPr="00991DEE">
                        <w:rPr>
                          <w:rFonts w:hint="cs"/>
                          <w:b/>
                          <w:bCs/>
                          <w:sz w:val="36"/>
                          <w:szCs w:val="36"/>
                          <w:u w:val="single"/>
                          <w:rtl/>
                        </w:rPr>
                        <w:t>הבהרה</w:t>
                      </w:r>
                    </w:p>
                    <w:p w:rsidR="00293CD3" w:rsidRPr="00764914" w:rsidRDefault="00293CD3" w:rsidP="00C34DF4">
                      <w:pPr>
                        <w:numPr>
                          <w:ilvl w:val="0"/>
                          <w:numId w:val="20"/>
                        </w:numPr>
                        <w:tabs>
                          <w:tab w:val="clear" w:pos="720"/>
                          <w:tab w:val="num" w:pos="960"/>
                        </w:tabs>
                        <w:ind w:left="960" w:right="900"/>
                        <w:rPr>
                          <w:rFonts w:hint="cs"/>
                          <w:sz w:val="26"/>
                          <w:szCs w:val="26"/>
                          <w:rtl/>
                        </w:rPr>
                      </w:pPr>
                      <w:r w:rsidRPr="00764914">
                        <w:rPr>
                          <w:rFonts w:hint="cs"/>
                          <w:sz w:val="26"/>
                          <w:szCs w:val="26"/>
                          <w:rtl/>
                        </w:rPr>
                        <w:t>מסמך זה נועד לספק הנחיה כללית (כפי שתתפרסם מעת לעת) בדבר ה</w:t>
                      </w:r>
                      <w:r>
                        <w:rPr>
                          <w:rFonts w:hint="cs"/>
                          <w:sz w:val="26"/>
                          <w:szCs w:val="26"/>
                          <w:rtl/>
                        </w:rPr>
                        <w:t>מדיניות והפרשנות</w:t>
                      </w:r>
                      <w:r w:rsidRPr="00764914">
                        <w:rPr>
                          <w:rFonts w:hint="cs"/>
                          <w:sz w:val="26"/>
                          <w:szCs w:val="26"/>
                          <w:rtl/>
                        </w:rPr>
                        <w:t xml:space="preserve"> </w:t>
                      </w:r>
                      <w:r>
                        <w:rPr>
                          <w:rFonts w:hint="cs"/>
                          <w:sz w:val="26"/>
                          <w:szCs w:val="26"/>
                          <w:rtl/>
                        </w:rPr>
                        <w:t>הננקטות על ידי</w:t>
                      </w:r>
                      <w:r w:rsidRPr="00764914">
                        <w:rPr>
                          <w:rFonts w:hint="cs"/>
                          <w:sz w:val="26"/>
                          <w:szCs w:val="26"/>
                          <w:rtl/>
                        </w:rPr>
                        <w:t xml:space="preserve"> רשות ההגבלים העסקיים</w:t>
                      </w:r>
                      <w:r>
                        <w:rPr>
                          <w:rFonts w:hint="cs"/>
                          <w:sz w:val="26"/>
                          <w:szCs w:val="26"/>
                          <w:rtl/>
                        </w:rPr>
                        <w:t>,</w:t>
                      </w:r>
                      <w:r w:rsidRPr="00764914">
                        <w:rPr>
                          <w:rFonts w:hint="cs"/>
                          <w:sz w:val="26"/>
                          <w:szCs w:val="26"/>
                          <w:rtl/>
                        </w:rPr>
                        <w:t xml:space="preserve"> באשר לעניינים שונים הנוגעים למעטפת הפרוצדורלית של פרק המיזוגים בחוק ההגבלים העסקיים</w:t>
                      </w:r>
                      <w:r>
                        <w:rPr>
                          <w:rFonts w:hint="cs"/>
                          <w:sz w:val="26"/>
                          <w:szCs w:val="26"/>
                          <w:rtl/>
                        </w:rPr>
                        <w:t xml:space="preserve">, התשמ"ח </w:t>
                      </w:r>
                      <w:r>
                        <w:rPr>
                          <w:sz w:val="26"/>
                          <w:szCs w:val="26"/>
                          <w:rtl/>
                        </w:rPr>
                        <w:t>–</w:t>
                      </w:r>
                      <w:r>
                        <w:rPr>
                          <w:rFonts w:hint="cs"/>
                          <w:sz w:val="26"/>
                          <w:szCs w:val="26"/>
                          <w:rtl/>
                        </w:rPr>
                        <w:t xml:space="preserve"> 1988 (להלן גם: "</w:t>
                      </w:r>
                      <w:r w:rsidRPr="00906C97">
                        <w:rPr>
                          <w:rFonts w:hint="cs"/>
                          <w:b/>
                          <w:bCs/>
                          <w:sz w:val="26"/>
                          <w:szCs w:val="26"/>
                          <w:rtl/>
                        </w:rPr>
                        <w:t>החוק</w:t>
                      </w:r>
                      <w:r>
                        <w:rPr>
                          <w:rFonts w:hint="cs"/>
                          <w:sz w:val="26"/>
                          <w:szCs w:val="26"/>
                          <w:rtl/>
                        </w:rPr>
                        <w:t>" או "</w:t>
                      </w:r>
                      <w:r w:rsidRPr="00906C97">
                        <w:rPr>
                          <w:rFonts w:hint="cs"/>
                          <w:b/>
                          <w:bCs/>
                          <w:sz w:val="26"/>
                          <w:szCs w:val="26"/>
                          <w:rtl/>
                        </w:rPr>
                        <w:t>חוק ההגבלים העסקיים</w:t>
                      </w:r>
                      <w:r>
                        <w:rPr>
                          <w:rFonts w:hint="cs"/>
                          <w:sz w:val="26"/>
                          <w:szCs w:val="26"/>
                          <w:rtl/>
                        </w:rPr>
                        <w:t>")</w:t>
                      </w:r>
                      <w:r w:rsidRPr="00764914">
                        <w:rPr>
                          <w:rFonts w:hint="cs"/>
                          <w:sz w:val="26"/>
                          <w:szCs w:val="26"/>
                          <w:rtl/>
                        </w:rPr>
                        <w:t xml:space="preserve">. </w:t>
                      </w:r>
                    </w:p>
                    <w:p w:rsidR="00293CD3" w:rsidRPr="00764914" w:rsidRDefault="00293CD3" w:rsidP="00C34DF4">
                      <w:pPr>
                        <w:numPr>
                          <w:ilvl w:val="0"/>
                          <w:numId w:val="20"/>
                        </w:numPr>
                        <w:tabs>
                          <w:tab w:val="clear" w:pos="720"/>
                          <w:tab w:val="num" w:pos="960"/>
                        </w:tabs>
                        <w:ind w:left="960" w:right="900"/>
                        <w:rPr>
                          <w:rFonts w:hint="cs"/>
                          <w:sz w:val="26"/>
                          <w:szCs w:val="26"/>
                        </w:rPr>
                      </w:pPr>
                      <w:r w:rsidRPr="00764914">
                        <w:rPr>
                          <w:rFonts w:hint="cs"/>
                          <w:sz w:val="26"/>
                          <w:szCs w:val="26"/>
                          <w:rtl/>
                        </w:rPr>
                        <w:t>מסמך זה מטפל במספר סוגיות נבחרות הנוגעות להחלת הוראות פרק המיזוגים שבחוק. אין בו למצות את קשת המצבים, העניינים והסוגיות הנוגעים ל</w:t>
                      </w:r>
                      <w:r>
                        <w:rPr>
                          <w:rFonts w:hint="cs"/>
                          <w:sz w:val="26"/>
                          <w:szCs w:val="26"/>
                          <w:rtl/>
                        </w:rPr>
                        <w:t>מדיניות רשות ההגבלים העסקיים ביחס ל</w:t>
                      </w:r>
                      <w:r w:rsidRPr="00764914">
                        <w:rPr>
                          <w:rFonts w:hint="cs"/>
                          <w:sz w:val="26"/>
                          <w:szCs w:val="26"/>
                          <w:rtl/>
                        </w:rPr>
                        <w:t>פרק המיזוגים</w:t>
                      </w:r>
                      <w:r>
                        <w:rPr>
                          <w:rFonts w:hint="cs"/>
                          <w:sz w:val="26"/>
                          <w:szCs w:val="26"/>
                          <w:rtl/>
                        </w:rPr>
                        <w:t>, ולפרשנות הננקטת על ידה</w:t>
                      </w:r>
                      <w:r w:rsidRPr="00764914">
                        <w:rPr>
                          <w:rFonts w:hint="cs"/>
                          <w:sz w:val="26"/>
                          <w:szCs w:val="26"/>
                          <w:rtl/>
                        </w:rPr>
                        <w:t xml:space="preserve">. </w:t>
                      </w:r>
                      <w:r>
                        <w:rPr>
                          <w:rFonts w:hint="cs"/>
                          <w:sz w:val="26"/>
                          <w:szCs w:val="26"/>
                          <w:rtl/>
                        </w:rPr>
                        <w:t xml:space="preserve">מסמך זה בא לרכז ולהוסיף על האמור בהחלטות קודמות שניתנו על ידי הממונה על הגבלים עסקיים ואין בו להחליף, לגרוע או לשנות מן האמור בהן. </w:t>
                      </w:r>
                    </w:p>
                    <w:p w:rsidR="00293CD3" w:rsidRDefault="00293CD3" w:rsidP="00C34DF4">
                      <w:pPr>
                        <w:numPr>
                          <w:ilvl w:val="0"/>
                          <w:numId w:val="20"/>
                        </w:numPr>
                        <w:tabs>
                          <w:tab w:val="clear" w:pos="720"/>
                          <w:tab w:val="num" w:pos="960"/>
                        </w:tabs>
                        <w:ind w:left="960" w:right="900"/>
                        <w:rPr>
                          <w:rFonts w:hint="cs"/>
                          <w:sz w:val="26"/>
                          <w:szCs w:val="26"/>
                        </w:rPr>
                      </w:pPr>
                      <w:r w:rsidRPr="00764914">
                        <w:rPr>
                          <w:rFonts w:hint="cs"/>
                          <w:sz w:val="26"/>
                          <w:szCs w:val="26"/>
                          <w:rtl/>
                        </w:rPr>
                        <w:t xml:space="preserve">אין במסמך זה משום תחליף לייעוץ משפטי ואין בו לגרוע, לשנות או לבטל מן האמור בחוק ההגבלים העסקיים, בתקנות שהותקנו מכוחו או בצווים, הוראות ותנאים שניתנו לפיו. </w:t>
                      </w:r>
                      <w:r>
                        <w:rPr>
                          <w:rFonts w:hint="cs"/>
                          <w:sz w:val="26"/>
                          <w:szCs w:val="26"/>
                          <w:rtl/>
                        </w:rPr>
                        <w:t>למען הסר ספק, לא ניתן להסתמך על ההנחיות, מקום בו</w:t>
                      </w:r>
                      <w:r w:rsidRPr="00764914">
                        <w:rPr>
                          <w:rFonts w:hint="cs"/>
                          <w:sz w:val="26"/>
                          <w:szCs w:val="26"/>
                          <w:rtl/>
                        </w:rPr>
                        <w:t xml:space="preserve"> תוצאת </w:t>
                      </w:r>
                      <w:r>
                        <w:rPr>
                          <w:rFonts w:hint="cs"/>
                          <w:sz w:val="26"/>
                          <w:szCs w:val="26"/>
                          <w:rtl/>
                        </w:rPr>
                        <w:t>ההסתמכות</w:t>
                      </w:r>
                      <w:r w:rsidRPr="00764914">
                        <w:rPr>
                          <w:rFonts w:hint="cs"/>
                          <w:sz w:val="26"/>
                          <w:szCs w:val="26"/>
                          <w:rtl/>
                        </w:rPr>
                        <w:t xml:space="preserve">, במקרה קונקרטי, היא שינוי, גריעה או ביטול של צו, הוראה או תנאי שניתנו מכוח דיני ההגבלים העסקיים. </w:t>
                      </w:r>
                    </w:p>
                    <w:p w:rsidR="00293CD3" w:rsidRDefault="00293CD3" w:rsidP="00544158">
                      <w:pPr>
                        <w:numPr>
                          <w:ilvl w:val="0"/>
                          <w:numId w:val="20"/>
                        </w:numPr>
                        <w:tabs>
                          <w:tab w:val="clear" w:pos="720"/>
                          <w:tab w:val="num" w:pos="960"/>
                        </w:tabs>
                        <w:ind w:left="960" w:right="900"/>
                        <w:rPr>
                          <w:rFonts w:hint="cs"/>
                          <w:sz w:val="26"/>
                          <w:szCs w:val="26"/>
                        </w:rPr>
                      </w:pPr>
                      <w:r w:rsidRPr="00764914">
                        <w:rPr>
                          <w:rFonts w:hint="cs"/>
                          <w:sz w:val="26"/>
                          <w:szCs w:val="26"/>
                          <w:rtl/>
                        </w:rPr>
                        <w:t xml:space="preserve">עמדתה הכללית של </w:t>
                      </w:r>
                      <w:r>
                        <w:rPr>
                          <w:rFonts w:hint="cs"/>
                          <w:sz w:val="26"/>
                          <w:szCs w:val="26"/>
                          <w:rtl/>
                        </w:rPr>
                        <w:t>רשות ההגבלים העסקיים</w:t>
                      </w:r>
                      <w:r w:rsidRPr="00764914">
                        <w:rPr>
                          <w:rFonts w:hint="cs"/>
                          <w:sz w:val="26"/>
                          <w:szCs w:val="26"/>
                          <w:rtl/>
                        </w:rPr>
                        <w:t xml:space="preserve"> המובאת כאן לא תחול מקום בו נמסרה עמדה </w:t>
                      </w:r>
                      <w:r>
                        <w:rPr>
                          <w:rFonts w:hint="cs"/>
                          <w:sz w:val="26"/>
                          <w:szCs w:val="26"/>
                          <w:rtl/>
                        </w:rPr>
                        <w:t xml:space="preserve">קונקרטית </w:t>
                      </w:r>
                      <w:r w:rsidRPr="00764914">
                        <w:rPr>
                          <w:rFonts w:hint="cs"/>
                          <w:sz w:val="26"/>
                          <w:szCs w:val="26"/>
                          <w:rtl/>
                        </w:rPr>
                        <w:t xml:space="preserve">במקרה </w:t>
                      </w:r>
                      <w:r>
                        <w:rPr>
                          <w:rFonts w:hint="cs"/>
                          <w:sz w:val="26"/>
                          <w:szCs w:val="26"/>
                          <w:rtl/>
                        </w:rPr>
                        <w:t>מסוים</w:t>
                      </w:r>
                      <w:r w:rsidRPr="00764914">
                        <w:rPr>
                          <w:rFonts w:hint="cs"/>
                          <w:sz w:val="26"/>
                          <w:szCs w:val="26"/>
                          <w:rtl/>
                        </w:rPr>
                        <w:t xml:space="preserve">. </w:t>
                      </w:r>
                      <w:r>
                        <w:rPr>
                          <w:rFonts w:hint="cs"/>
                          <w:sz w:val="26"/>
                          <w:szCs w:val="26"/>
                          <w:rtl/>
                        </w:rPr>
                        <w:t xml:space="preserve">ככל שלא נאמר אחרת בגוף ההנחיה, הסתמכות על עמדת הרשות המובאת במסמך זה אינה טעונה פניה מוקדמת לרשות.   </w:t>
                      </w:r>
                    </w:p>
                    <w:p w:rsidR="00293CD3" w:rsidRPr="00764914" w:rsidRDefault="00293CD3" w:rsidP="00A548B2">
                      <w:pPr>
                        <w:numPr>
                          <w:ilvl w:val="0"/>
                          <w:numId w:val="20"/>
                        </w:numPr>
                        <w:tabs>
                          <w:tab w:val="clear" w:pos="720"/>
                          <w:tab w:val="num" w:pos="960"/>
                        </w:tabs>
                        <w:ind w:left="960" w:right="900"/>
                        <w:rPr>
                          <w:rFonts w:hint="cs"/>
                          <w:sz w:val="26"/>
                          <w:szCs w:val="26"/>
                        </w:rPr>
                      </w:pPr>
                      <w:r>
                        <w:rPr>
                          <w:rFonts w:hint="cs"/>
                          <w:sz w:val="26"/>
                          <w:szCs w:val="26"/>
                          <w:rtl/>
                        </w:rPr>
                        <w:t xml:space="preserve">פועלה של הנחיה זו הוא ביחסי הפרט והרשות בלבד ואין היא בעלת תוקף מחייב במשפט הפרטי. משכך, הנחיה זו אינה גורעת מן הזכויות המוקנות לכל אדם לפי דין, לרבות הזכות לתקוף בערכאות חוקיות פעולה שנעשתה בהסתמך על הנחיות אלה.      </w:t>
                      </w:r>
                    </w:p>
                    <w:p w:rsidR="00293CD3" w:rsidRPr="00764914" w:rsidRDefault="00293CD3" w:rsidP="00C34DF4">
                      <w:pPr>
                        <w:numPr>
                          <w:ilvl w:val="0"/>
                          <w:numId w:val="20"/>
                        </w:numPr>
                        <w:tabs>
                          <w:tab w:val="clear" w:pos="720"/>
                          <w:tab w:val="num" w:pos="960"/>
                        </w:tabs>
                        <w:ind w:left="960" w:right="900"/>
                        <w:rPr>
                          <w:rFonts w:hint="cs"/>
                          <w:sz w:val="26"/>
                          <w:szCs w:val="26"/>
                        </w:rPr>
                      </w:pPr>
                      <w:r w:rsidRPr="00764914">
                        <w:rPr>
                          <w:rFonts w:hint="cs"/>
                          <w:sz w:val="26"/>
                          <w:szCs w:val="26"/>
                          <w:rtl/>
                        </w:rPr>
                        <w:t>הנוסח העדכני של מסמך זה הוא זה המתפרסם באותה עת באתר האינטרנט של רשות ההגבלים העסקיים</w:t>
                      </w:r>
                      <w:r>
                        <w:rPr>
                          <w:rFonts w:hint="cs"/>
                          <w:sz w:val="26"/>
                          <w:szCs w:val="26"/>
                          <w:rtl/>
                        </w:rPr>
                        <w:t xml:space="preserve"> (להלן גם : "</w:t>
                      </w:r>
                      <w:r w:rsidRPr="00906C97">
                        <w:rPr>
                          <w:rFonts w:hint="cs"/>
                          <w:b/>
                          <w:bCs/>
                          <w:sz w:val="26"/>
                          <w:szCs w:val="26"/>
                          <w:rtl/>
                        </w:rPr>
                        <w:t>הרשות</w:t>
                      </w:r>
                      <w:r>
                        <w:rPr>
                          <w:rFonts w:hint="cs"/>
                          <w:sz w:val="26"/>
                          <w:szCs w:val="26"/>
                          <w:rtl/>
                        </w:rPr>
                        <w:t>")</w:t>
                      </w:r>
                      <w:r w:rsidRPr="00764914">
                        <w:rPr>
                          <w:rFonts w:hint="cs"/>
                          <w:sz w:val="26"/>
                          <w:szCs w:val="26"/>
                          <w:rtl/>
                        </w:rPr>
                        <w:t xml:space="preserve">. </w:t>
                      </w:r>
                    </w:p>
                    <w:p w:rsidR="00293CD3" w:rsidRDefault="00293CD3" w:rsidP="004A4915">
                      <w:pPr>
                        <w:ind w:right="900"/>
                        <w:rPr>
                          <w:rFonts w:hint="cs"/>
                          <w:sz w:val="28"/>
                          <w:szCs w:val="28"/>
                          <w:rtl/>
                        </w:rPr>
                      </w:pPr>
                    </w:p>
                    <w:p w:rsidR="00293CD3" w:rsidRPr="009812A8" w:rsidRDefault="00293CD3" w:rsidP="00191AC5">
                      <w:pPr>
                        <w:ind w:left="360"/>
                        <w:rPr>
                          <w:rFonts w:hint="cs"/>
                          <w:sz w:val="28"/>
                          <w:szCs w:val="28"/>
                        </w:rPr>
                      </w:pPr>
                    </w:p>
                    <w:p w:rsidR="00293CD3" w:rsidRDefault="00293CD3" w:rsidP="009812A8">
                      <w:pPr>
                        <w:ind w:left="360"/>
                        <w:rPr>
                          <w:rFonts w:hint="cs"/>
                          <w:rtl/>
                        </w:rPr>
                      </w:pPr>
                      <w:r>
                        <w:rPr>
                          <w:rFonts w:hint="cs"/>
                          <w:rtl/>
                        </w:rPr>
                        <w:t xml:space="preserve"> </w:t>
                      </w:r>
                    </w:p>
                  </w:txbxContent>
                </v:textbox>
                <w10:wrap type="square"/>
              </v:shape>
            </w:pict>
          </mc:Fallback>
        </mc:AlternateContent>
      </w:r>
      <w:r w:rsidR="009B7F72">
        <w:rPr>
          <w:rtl/>
        </w:rPr>
        <w:br w:type="page"/>
      </w:r>
      <w:r w:rsidR="007E35C6" w:rsidRPr="008F76DA">
        <w:rPr>
          <w:rFonts w:ascii="Arial" w:hAnsi="Arial" w:cs="Arial"/>
          <w:b/>
          <w:bCs/>
          <w:sz w:val="28"/>
          <w:szCs w:val="28"/>
          <w:rtl/>
        </w:rPr>
        <w:lastRenderedPageBreak/>
        <w:t xml:space="preserve">פתח דבר </w:t>
      </w:r>
    </w:p>
    <w:p w:rsidR="007E35C6" w:rsidRDefault="007E35C6" w:rsidP="001F2104">
      <w:pPr>
        <w:spacing w:after="240"/>
        <w:ind w:left="34"/>
        <w:rPr>
          <w:rFonts w:hint="cs"/>
          <w:rtl/>
        </w:rPr>
      </w:pPr>
      <w:bookmarkStart w:id="0" w:name="_GoBack"/>
      <w:r>
        <w:rPr>
          <w:rFonts w:hint="cs"/>
          <w:rtl/>
        </w:rPr>
        <w:t>הבאתם של מיזוגי חברות תחת משטרו</w:t>
      </w:r>
      <w:r w:rsidR="003745B2">
        <w:rPr>
          <w:rFonts w:hint="cs"/>
          <w:rtl/>
        </w:rPr>
        <w:t xml:space="preserve"> הישיר</w:t>
      </w:r>
      <w:r>
        <w:rPr>
          <w:rFonts w:hint="cs"/>
          <w:rtl/>
        </w:rPr>
        <w:t xml:space="preserve"> של חוק ההגבלים העסקיים נעשתה רק עם חקיקתו של חוק ההגבלים העסקיים בשנת 1988. הפיקוח על מיזוגים יצא לדרכו בינואר 1989, כחמש </w:t>
      </w:r>
      <w:bookmarkEnd w:id="0"/>
      <w:r>
        <w:rPr>
          <w:rFonts w:hint="cs"/>
          <w:rtl/>
        </w:rPr>
        <w:t xml:space="preserve">שנים </w:t>
      </w:r>
      <w:r w:rsidR="001F2104">
        <w:rPr>
          <w:rFonts w:hint="cs"/>
          <w:rtl/>
        </w:rPr>
        <w:t xml:space="preserve">לפני שהוקמה </w:t>
      </w:r>
      <w:r>
        <w:rPr>
          <w:rFonts w:hint="cs"/>
          <w:rtl/>
        </w:rPr>
        <w:t>רשות ההגבלים העסקיים. סוגיות שונות בתחולת פרק המיזוגים עמדו ביסוד החלטות הממונה שניתנו שנים ספורות לאחר מכן, ב</w:t>
      </w:r>
      <w:r>
        <w:rPr>
          <w:rFonts w:hint="cs"/>
          <w:b/>
          <w:bCs/>
          <w:rtl/>
        </w:rPr>
        <w:t>פרשת זלקינד</w:t>
      </w:r>
      <w:r w:rsidR="00906C97">
        <w:rPr>
          <w:rStyle w:val="FootnoteReference"/>
          <w:b/>
          <w:bCs/>
          <w:rtl/>
        </w:rPr>
        <w:footnoteReference w:id="1"/>
      </w:r>
      <w:r>
        <w:rPr>
          <w:rFonts w:hint="cs"/>
          <w:rtl/>
        </w:rPr>
        <w:t xml:space="preserve"> וב</w:t>
      </w:r>
      <w:r>
        <w:rPr>
          <w:rFonts w:hint="cs"/>
          <w:b/>
          <w:bCs/>
          <w:rtl/>
        </w:rPr>
        <w:t>פרשת תנובה</w:t>
      </w:r>
      <w:r>
        <w:rPr>
          <w:rFonts w:hint="cs"/>
          <w:rtl/>
        </w:rPr>
        <w:t>.</w:t>
      </w:r>
      <w:r w:rsidR="00906C97">
        <w:rPr>
          <w:rStyle w:val="FootnoteReference"/>
          <w:rtl/>
        </w:rPr>
        <w:footnoteReference w:id="2"/>
      </w:r>
      <w:r>
        <w:rPr>
          <w:rFonts w:hint="cs"/>
          <w:rtl/>
        </w:rPr>
        <w:t xml:space="preserve">  הגברת המודעות באשר להיקף חובת הפנייה לממונה בגינן של עסקאות מיזוג באה לידי ביטוי בשנים שלאחר מכן, עם התגברות האכיפה ולאחר העמדה לדין, </w:t>
      </w:r>
      <w:r>
        <w:rPr>
          <w:rFonts w:hint="cs"/>
          <w:b/>
          <w:bCs/>
          <w:rtl/>
        </w:rPr>
        <w:t>בפרשת כרמיפלס</w:t>
      </w:r>
      <w:r>
        <w:rPr>
          <w:rFonts w:hint="cs"/>
          <w:rtl/>
        </w:rPr>
        <w:t xml:space="preserve">, של מבצעי מיזוג שלא מילאו את חובת הפנייה המוקדמת והתמזגו ללא קבלת אישור הממונה.  </w:t>
      </w:r>
    </w:p>
    <w:p w:rsidR="007E35C6" w:rsidRDefault="007E35C6" w:rsidP="001F2104">
      <w:pPr>
        <w:spacing w:after="240"/>
        <w:ind w:left="32"/>
        <w:rPr>
          <w:rFonts w:hint="cs"/>
          <w:rtl/>
        </w:rPr>
      </w:pPr>
      <w:r>
        <w:rPr>
          <w:rFonts w:hint="cs"/>
          <w:rtl/>
        </w:rPr>
        <w:t xml:space="preserve">על התגברות המודעות בקרב ציבור מנהלי העסקים להוראות החוק לימדו, יותר מכל, העלייה הניכרת במספרן של העסקאות המדווחות והידרשותה החוזרת ונשנית של המחלקה המשפטית לסוגיות </w:t>
      </w:r>
      <w:r w:rsidR="003745B2">
        <w:rPr>
          <w:rFonts w:hint="cs"/>
          <w:rtl/>
        </w:rPr>
        <w:t>מדיניות ו</w:t>
      </w:r>
      <w:r>
        <w:rPr>
          <w:rFonts w:hint="cs"/>
          <w:rtl/>
        </w:rPr>
        <w:t>פרשנות בכל הנוגע לתחולתן והיקפן של חובות ה</w:t>
      </w:r>
      <w:r w:rsidR="001F2104">
        <w:rPr>
          <w:rFonts w:hint="cs"/>
          <w:rtl/>
        </w:rPr>
        <w:t xml:space="preserve">דיווח המוקדם </w:t>
      </w:r>
      <w:r>
        <w:rPr>
          <w:rFonts w:hint="cs"/>
          <w:rtl/>
        </w:rPr>
        <w:t>וההמתנה ה</w:t>
      </w:r>
      <w:r w:rsidR="001F2104">
        <w:rPr>
          <w:rFonts w:hint="cs"/>
          <w:rtl/>
        </w:rPr>
        <w:t xml:space="preserve">קבועות </w:t>
      </w:r>
      <w:r>
        <w:rPr>
          <w:rFonts w:hint="cs"/>
          <w:rtl/>
        </w:rPr>
        <w:t xml:space="preserve">בפרק המיזוגים שבחוק ההגבלים העסקיים. עד מהרה הוקמה יחידה במחלקה המשפטית שהופקדה על מתן מענה לפניות אלה וזו הרחיבה את היקף פעילותה בהתאם להתרחבות הנמשכת במספרן של הפניות.   </w:t>
      </w:r>
    </w:p>
    <w:p w:rsidR="007E35C6" w:rsidRDefault="007E35C6" w:rsidP="007270E3">
      <w:pPr>
        <w:spacing w:after="240"/>
        <w:ind w:left="32"/>
        <w:rPr>
          <w:rFonts w:hint="cs"/>
          <w:rtl/>
        </w:rPr>
      </w:pPr>
      <w:r>
        <w:rPr>
          <w:rFonts w:hint="cs"/>
          <w:rtl/>
        </w:rPr>
        <w:t>היקפן ואופיין של הפניות לרשות לימדו על צורך הולך וגובר בריכוז עמדות</w:t>
      </w:r>
      <w:r w:rsidR="003745B2">
        <w:rPr>
          <w:rFonts w:hint="cs"/>
          <w:rtl/>
        </w:rPr>
        <w:t xml:space="preserve"> המדיניות</w:t>
      </w:r>
      <w:r>
        <w:rPr>
          <w:rFonts w:hint="cs"/>
          <w:rtl/>
        </w:rPr>
        <w:t xml:space="preserve"> </w:t>
      </w:r>
      <w:r w:rsidR="003745B2">
        <w:rPr>
          <w:rFonts w:hint="cs"/>
          <w:rtl/>
        </w:rPr>
        <w:t>ו</w:t>
      </w:r>
      <w:r>
        <w:rPr>
          <w:rFonts w:hint="cs"/>
          <w:rtl/>
        </w:rPr>
        <w:t>הפרשנות של רשות ההגבלים העסקיים</w:t>
      </w:r>
      <w:r w:rsidR="00CB1CE6">
        <w:rPr>
          <w:rFonts w:hint="cs"/>
          <w:rtl/>
        </w:rPr>
        <w:t>,</w:t>
      </w:r>
      <w:r>
        <w:rPr>
          <w:rFonts w:hint="cs"/>
          <w:rtl/>
        </w:rPr>
        <w:t xml:space="preserve"> למסמך מנחה שיעמוד לרשות הציבור.  במקביל, התגבשו פניו ושלביו של הליך הפיקוח על מיזוגים, עקב בצד אגודל, ועוצבה מדיניות פרשנית עקבית של הרשות, בתהליך אבולוציוני, ממקרה למקרה.  ההנחיות המפורטות כאן הן בעיקר פרי ניסיון מצטבר בן כעשור שנים, מאז 1997 ואילך, תקופה בה עוצבה וגובשה מתכונת הליכי הדיווח והבדיקה של מיזוגי חברות בפן הפרוצדורלי, ובה גיבשה הרשות פרשנות ונהלים לגבי הפעלת הוראות פרק המיזוגים.  </w:t>
      </w:r>
    </w:p>
    <w:p w:rsidR="007E35C6" w:rsidRDefault="007E35C6" w:rsidP="007270E3">
      <w:pPr>
        <w:spacing w:after="240"/>
        <w:ind w:left="32"/>
        <w:rPr>
          <w:rFonts w:hint="cs"/>
          <w:rtl/>
        </w:rPr>
      </w:pPr>
      <w:r>
        <w:rPr>
          <w:rFonts w:hint="cs"/>
          <w:rtl/>
        </w:rPr>
        <w:t>בנסיבות אלה, מצאתי כי לצד הצורך הברור בכך, חלפה תקופה ארוכה בה הצטבר נ</w:t>
      </w:r>
      <w:r w:rsidR="00CB1CE6">
        <w:rPr>
          <w:rFonts w:hint="cs"/>
          <w:rtl/>
        </w:rPr>
        <w:t>י</w:t>
      </w:r>
      <w:r>
        <w:rPr>
          <w:rFonts w:hint="cs"/>
          <w:rtl/>
        </w:rPr>
        <w:t>סיון מעשי, לטוב ולרע, מעמדות שונות שננקטו על ידי הרשות בשלבים שונים, וכי נ</w:t>
      </w:r>
      <w:r w:rsidR="00CB1CE6">
        <w:rPr>
          <w:rFonts w:hint="cs"/>
          <w:rtl/>
        </w:rPr>
        <w:t>י</w:t>
      </w:r>
      <w:r>
        <w:rPr>
          <w:rFonts w:hint="cs"/>
          <w:rtl/>
        </w:rPr>
        <w:t xml:space="preserve">סיון זה מאפשר העלאה על הכתב של מדיניות קוהרנטית של רשות ההגבלים העסקיים בסוגיות </w:t>
      </w:r>
      <w:r w:rsidR="002C2AC6">
        <w:rPr>
          <w:rFonts w:hint="cs"/>
          <w:rtl/>
        </w:rPr>
        <w:t xml:space="preserve">משפטיות </w:t>
      </w:r>
      <w:r>
        <w:rPr>
          <w:rFonts w:hint="cs"/>
          <w:rtl/>
        </w:rPr>
        <w:t xml:space="preserve">העוטפות את הליך הפיקוח על מיזוגי חברות לפי חוק ההגבלים העסקיים.  </w:t>
      </w:r>
    </w:p>
    <w:p w:rsidR="007E35C6" w:rsidRDefault="007E35C6" w:rsidP="007270E3">
      <w:pPr>
        <w:spacing w:after="240"/>
        <w:ind w:left="32"/>
        <w:rPr>
          <w:rFonts w:hint="cs"/>
          <w:rtl/>
        </w:rPr>
      </w:pPr>
      <w:r>
        <w:rPr>
          <w:rFonts w:hint="cs"/>
          <w:rtl/>
        </w:rPr>
        <w:t xml:space="preserve">מטרתן של הנחיות אלה היא ליצור ודאות, עקביות ושקיפות בדבר הבסיס הנורמטיבי עליו מושתת, בהיבט הפרוצדורלי, הפיקוח על מיזוגים. </w:t>
      </w:r>
    </w:p>
    <w:p w:rsidR="007E35C6" w:rsidRDefault="007E35C6" w:rsidP="007270E3">
      <w:pPr>
        <w:spacing w:after="240"/>
        <w:ind w:left="32"/>
        <w:rPr>
          <w:rFonts w:hint="cs"/>
          <w:rtl/>
        </w:rPr>
      </w:pPr>
      <w:r>
        <w:rPr>
          <w:rFonts w:hint="cs"/>
          <w:rtl/>
        </w:rPr>
        <w:t xml:space="preserve">ההנחיות מפרטות בתמצית את הפרשנות לדין כפי שזו באה לידי ביטוי בנוהגים ובנהלים החלים בהליך בדיקת המיזוגים ברשות ההגבלים העסקיים.  מצאתי לנכון להביא בגילוי דעת זה גם </w:t>
      </w:r>
      <w:r>
        <w:rPr>
          <w:rFonts w:hint="cs"/>
          <w:rtl/>
        </w:rPr>
        <w:lastRenderedPageBreak/>
        <w:t xml:space="preserve">לקחים מעשיים שהצטברו בעניינים רבים שעמדו על שולחנה של הרשות מאז היווסדה, בשנת 1994 ואילך.  </w:t>
      </w:r>
    </w:p>
    <w:p w:rsidR="007E35C6" w:rsidRDefault="007E35C6" w:rsidP="007270E3">
      <w:pPr>
        <w:spacing w:after="240"/>
        <w:ind w:left="32"/>
        <w:rPr>
          <w:rFonts w:hint="cs"/>
          <w:rtl/>
        </w:rPr>
      </w:pPr>
      <w:r>
        <w:rPr>
          <w:rFonts w:hint="cs"/>
          <w:rtl/>
        </w:rPr>
        <w:t xml:space="preserve">אין בהנחיות אלה התייחסות מפורטת לדין המהותי החולש על הפיקוח על המיזוגים, קרי </w:t>
      </w:r>
      <w:r>
        <w:rPr>
          <w:rtl/>
        </w:rPr>
        <w:t>–</w:t>
      </w:r>
      <w:r>
        <w:rPr>
          <w:rFonts w:hint="cs"/>
          <w:rtl/>
        </w:rPr>
        <w:t xml:space="preserve"> מתי </w:t>
      </w:r>
      <w:r w:rsidR="003745B2">
        <w:rPr>
          <w:rFonts w:hint="cs"/>
          <w:rtl/>
        </w:rPr>
        <w:t>ת</w:t>
      </w:r>
      <w:r>
        <w:rPr>
          <w:rFonts w:hint="cs"/>
          <w:rtl/>
        </w:rPr>
        <w:t>תנגד הממונה למיזוג</w:t>
      </w:r>
      <w:r w:rsidR="003745B2">
        <w:rPr>
          <w:rFonts w:hint="cs"/>
          <w:rtl/>
        </w:rPr>
        <w:t xml:space="preserve">, </w:t>
      </w:r>
      <w:r w:rsidR="0029352A">
        <w:rPr>
          <w:rFonts w:hint="cs"/>
          <w:rtl/>
        </w:rPr>
        <w:t xml:space="preserve">תתנה את אישורו </w:t>
      </w:r>
      <w:r w:rsidR="001B6D42">
        <w:rPr>
          <w:rFonts w:hint="cs"/>
          <w:rtl/>
        </w:rPr>
        <w:t>ב</w:t>
      </w:r>
      <w:r w:rsidR="003745B2">
        <w:rPr>
          <w:rFonts w:hint="cs"/>
          <w:rtl/>
        </w:rPr>
        <w:t>תנאים או</w:t>
      </w:r>
      <w:r>
        <w:rPr>
          <w:rFonts w:hint="cs"/>
          <w:rtl/>
        </w:rPr>
        <w:t xml:space="preserve"> </w:t>
      </w:r>
      <w:r w:rsidR="001B6D42">
        <w:rPr>
          <w:rFonts w:hint="cs"/>
          <w:rtl/>
        </w:rPr>
        <w:t>תאשרו ללא תנאים</w:t>
      </w:r>
      <w:r>
        <w:rPr>
          <w:rFonts w:hint="cs"/>
          <w:rtl/>
        </w:rPr>
        <w:t xml:space="preserve">.  סוגיה זו נדונה בפסקי הדין שניתנו על ידי בית הדין להגבלים עסקיים ובהחלטות הממונה. עניינן של הנחיות אלה הוא בהסדרת הבסיס הנורמטיבי הפרוצדורלי, העוטף את הליך הדיווח והבדיקה. </w:t>
      </w:r>
    </w:p>
    <w:p w:rsidR="007E35C6" w:rsidRDefault="007E35C6" w:rsidP="007270E3">
      <w:pPr>
        <w:spacing w:after="240"/>
        <w:ind w:left="32"/>
        <w:rPr>
          <w:rFonts w:hint="cs"/>
          <w:rtl/>
        </w:rPr>
      </w:pPr>
      <w:r>
        <w:rPr>
          <w:rFonts w:hint="cs"/>
          <w:rtl/>
        </w:rPr>
        <w:t xml:space="preserve">יש לציין, כי בתחום המיזוגים, כבפרקים אחרים בחוק ההגבלים העסקיים, נקט המחוקק לשון מרחיבה שתכליתה להכפיף </w:t>
      </w:r>
      <w:r w:rsidR="003745B2">
        <w:rPr>
          <w:rFonts w:hint="cs"/>
          <w:rtl/>
        </w:rPr>
        <w:t>לפיקוח מקדים</w:t>
      </w:r>
      <w:r>
        <w:rPr>
          <w:rFonts w:hint="cs"/>
          <w:rtl/>
        </w:rPr>
        <w:t xml:space="preserve"> את כלל העסקאות </w:t>
      </w:r>
      <w:r w:rsidR="00AC5E02">
        <w:rPr>
          <w:rFonts w:hint="cs"/>
          <w:rtl/>
        </w:rPr>
        <w:t xml:space="preserve">שעלולות, על-פני הדברים, </w:t>
      </w:r>
      <w:r>
        <w:rPr>
          <w:rFonts w:hint="cs"/>
          <w:rtl/>
        </w:rPr>
        <w:t>ל</w:t>
      </w:r>
      <w:r w:rsidR="00AC5E02">
        <w:rPr>
          <w:rFonts w:hint="cs"/>
          <w:rtl/>
        </w:rPr>
        <w:t>השליך</w:t>
      </w:r>
      <w:r>
        <w:rPr>
          <w:rFonts w:hint="cs"/>
          <w:rtl/>
        </w:rPr>
        <w:t xml:space="preserve"> </w:t>
      </w:r>
      <w:r w:rsidR="00AC5E02">
        <w:rPr>
          <w:rFonts w:hint="cs"/>
          <w:rtl/>
        </w:rPr>
        <w:t xml:space="preserve">על אורחות התחרות </w:t>
      </w:r>
      <w:r>
        <w:rPr>
          <w:rFonts w:hint="cs"/>
          <w:rtl/>
        </w:rPr>
        <w:t>ב</w:t>
      </w:r>
      <w:r w:rsidR="00AC5E02">
        <w:rPr>
          <w:rFonts w:hint="cs"/>
          <w:rtl/>
        </w:rPr>
        <w:t>ענף כלשהו</w:t>
      </w:r>
      <w:r>
        <w:rPr>
          <w:rFonts w:hint="cs"/>
          <w:rtl/>
        </w:rPr>
        <w:t xml:space="preserve">. ברם, במנעד הרחב של העסקאות הנערכות יהיו תמיד מצבי ביניים, בהם מתעורר קושי פרשני.  במקרים אלה, כאשר מתעורר ספק ממשי, </w:t>
      </w:r>
      <w:r w:rsidR="00764914">
        <w:rPr>
          <w:rFonts w:hint="cs"/>
          <w:rtl/>
        </w:rPr>
        <w:t xml:space="preserve">רשאים </w:t>
      </w:r>
      <w:r>
        <w:rPr>
          <w:rFonts w:hint="cs"/>
          <w:rtl/>
        </w:rPr>
        <w:t xml:space="preserve">הצדדים לפנות לרשות ההגבלים העסקיים ולשאול </w:t>
      </w:r>
      <w:r w:rsidR="003745B2">
        <w:rPr>
          <w:rFonts w:hint="cs"/>
          <w:rtl/>
        </w:rPr>
        <w:t>לעמדתה</w:t>
      </w:r>
      <w:r>
        <w:rPr>
          <w:rFonts w:hint="cs"/>
          <w:rtl/>
        </w:rPr>
        <w:t xml:space="preserve">. </w:t>
      </w:r>
    </w:p>
    <w:p w:rsidR="007E35C6" w:rsidRDefault="007E35C6" w:rsidP="004A4915">
      <w:pPr>
        <w:spacing w:after="120"/>
        <w:ind w:left="32"/>
        <w:rPr>
          <w:rFonts w:hint="cs"/>
          <w:rtl/>
        </w:rPr>
      </w:pPr>
      <w:r>
        <w:rPr>
          <w:rFonts w:hint="cs"/>
          <w:rtl/>
        </w:rPr>
        <w:t xml:space="preserve">   </w:t>
      </w:r>
    </w:p>
    <w:p w:rsidR="007E35C6" w:rsidRPr="008F76DA" w:rsidRDefault="007847D8" w:rsidP="008F76DA">
      <w:pPr>
        <w:rPr>
          <w:rFonts w:ascii="Arial" w:hAnsi="Arial" w:cs="Arial"/>
          <w:b/>
          <w:bCs/>
          <w:sz w:val="32"/>
          <w:szCs w:val="32"/>
          <w:rtl/>
        </w:rPr>
      </w:pPr>
      <w:r>
        <w:rPr>
          <w:rtl/>
        </w:rPr>
        <w:br w:type="page"/>
      </w:r>
      <w:r w:rsidR="007E35C6" w:rsidRPr="008F76DA">
        <w:rPr>
          <w:rFonts w:ascii="Arial" w:hAnsi="Arial" w:cs="Arial"/>
          <w:b/>
          <w:bCs/>
          <w:sz w:val="32"/>
          <w:szCs w:val="32"/>
          <w:rtl/>
        </w:rPr>
        <w:t>תוכן עניינים</w:t>
      </w:r>
    </w:p>
    <w:p w:rsidR="00F249EF" w:rsidRDefault="008F76DA">
      <w:pPr>
        <w:pStyle w:val="TOC1"/>
        <w:rPr>
          <w:rFonts w:cs="Times New Roman"/>
          <w:b w:val="0"/>
          <w:bCs w:val="0"/>
          <w:sz w:val="24"/>
          <w:rtl/>
          <w:lang w:eastAsia="en-US"/>
        </w:rPr>
      </w:pPr>
      <w:r>
        <w:rPr>
          <w:rtl/>
        </w:rPr>
        <w:fldChar w:fldCharType="begin"/>
      </w:r>
      <w:r>
        <w:rPr>
          <w:rtl/>
        </w:rPr>
        <w:instrText xml:space="preserve"> </w:instrText>
      </w:r>
      <w:r>
        <w:rPr>
          <w:rFonts w:hint="cs"/>
        </w:rPr>
        <w:instrText>TOC</w:instrText>
      </w:r>
      <w:r>
        <w:rPr>
          <w:rFonts w:hint="cs"/>
          <w:rtl/>
        </w:rPr>
        <w:instrText xml:space="preserve"> \</w:instrText>
      </w:r>
      <w:r>
        <w:rPr>
          <w:rFonts w:hint="cs"/>
        </w:rPr>
        <w:instrText>o "1-3" \h \z \u</w:instrText>
      </w:r>
      <w:r>
        <w:rPr>
          <w:rtl/>
        </w:rPr>
        <w:instrText xml:space="preserve"> </w:instrText>
      </w:r>
      <w:r>
        <w:rPr>
          <w:rtl/>
        </w:rPr>
        <w:fldChar w:fldCharType="separate"/>
      </w:r>
      <w:hyperlink w:anchor="_Toc151956797" w:history="1">
        <w:r w:rsidR="00F249EF" w:rsidRPr="002855B6">
          <w:rPr>
            <w:rStyle w:val="Hyperlink"/>
            <w:rtl/>
          </w:rPr>
          <w:t>א. הקדמה</w:t>
        </w:r>
        <w:r w:rsidR="00F249EF">
          <w:rPr>
            <w:webHidden/>
            <w:rtl/>
          </w:rPr>
          <w:tab/>
        </w:r>
        <w:r w:rsidR="00F249EF">
          <w:rPr>
            <w:rStyle w:val="Hyperlink"/>
            <w:rtl/>
          </w:rPr>
          <w:fldChar w:fldCharType="begin"/>
        </w:r>
        <w:r w:rsidR="00F249EF">
          <w:rPr>
            <w:webHidden/>
            <w:rtl/>
          </w:rPr>
          <w:instrText xml:space="preserve"> </w:instrText>
        </w:r>
        <w:r w:rsidR="00F249EF">
          <w:rPr>
            <w:webHidden/>
          </w:rPr>
          <w:instrText>PAGEREF</w:instrText>
        </w:r>
        <w:r w:rsidR="00F249EF">
          <w:rPr>
            <w:webHidden/>
            <w:rtl/>
          </w:rPr>
          <w:instrText xml:space="preserve"> _</w:instrText>
        </w:r>
        <w:r w:rsidR="00F249EF">
          <w:rPr>
            <w:webHidden/>
          </w:rPr>
          <w:instrText>Toc151956797 \h</w:instrText>
        </w:r>
        <w:r w:rsidR="00F249EF">
          <w:rPr>
            <w:webHidden/>
            <w:rtl/>
          </w:rPr>
          <w:instrText xml:space="preserve"> </w:instrText>
        </w:r>
        <w:r w:rsidR="00F249EF" w:rsidRPr="00F249EF">
          <w:rPr>
            <w:color w:val="0000FF"/>
            <w:u w:val="single"/>
          </w:rPr>
        </w:r>
        <w:r w:rsidR="00F249EF">
          <w:rPr>
            <w:rStyle w:val="Hyperlink"/>
            <w:rtl/>
          </w:rPr>
          <w:fldChar w:fldCharType="separate"/>
        </w:r>
        <w:r w:rsidR="00C55EBD">
          <w:rPr>
            <w:webHidden/>
            <w:rtl/>
          </w:rPr>
          <w:t>5</w:t>
        </w:r>
        <w:r w:rsidR="00F249EF">
          <w:rPr>
            <w:rStyle w:val="Hyperlink"/>
            <w:rtl/>
          </w:rPr>
          <w:fldChar w:fldCharType="end"/>
        </w:r>
      </w:hyperlink>
    </w:p>
    <w:p w:rsidR="00F249EF" w:rsidRDefault="00F249EF">
      <w:pPr>
        <w:pStyle w:val="TOC2"/>
        <w:tabs>
          <w:tab w:val="right" w:leader="dot" w:pos="8302"/>
        </w:tabs>
        <w:rPr>
          <w:rFonts w:cs="Times New Roman"/>
          <w:noProof/>
          <w:sz w:val="24"/>
          <w:rtl/>
          <w:lang w:eastAsia="en-US"/>
        </w:rPr>
      </w:pPr>
      <w:hyperlink w:anchor="_Toc151956798" w:history="1">
        <w:r w:rsidRPr="002855B6">
          <w:rPr>
            <w:rStyle w:val="Hyperlink"/>
            <w:noProof/>
            <w:rtl/>
          </w:rPr>
          <w:t>א.1. מבוא: מערך הפיקוח על מיזוגים</w:t>
        </w:r>
        <w:r>
          <w:rPr>
            <w:noProof/>
            <w:webHidden/>
            <w:rtl/>
          </w:rPr>
          <w:tab/>
        </w:r>
        <w:r>
          <w:rPr>
            <w:rStyle w:val="Hyperlink"/>
            <w:noProof/>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Toc151956798 \h</w:instrText>
        </w:r>
        <w:r>
          <w:rPr>
            <w:noProof/>
            <w:webHidden/>
            <w:rtl/>
          </w:rPr>
          <w:instrText xml:space="preserve"> </w:instrText>
        </w:r>
        <w:r w:rsidRPr="00F249EF">
          <w:rPr>
            <w:noProof/>
            <w:color w:val="0000FF"/>
            <w:u w:val="single"/>
          </w:rPr>
        </w:r>
        <w:r>
          <w:rPr>
            <w:rStyle w:val="Hyperlink"/>
            <w:noProof/>
            <w:rtl/>
          </w:rPr>
          <w:fldChar w:fldCharType="separate"/>
        </w:r>
        <w:r w:rsidR="00C55EBD">
          <w:rPr>
            <w:noProof/>
            <w:webHidden/>
            <w:rtl/>
          </w:rPr>
          <w:t>5</w:t>
        </w:r>
        <w:r>
          <w:rPr>
            <w:rStyle w:val="Hyperlink"/>
            <w:noProof/>
            <w:rtl/>
          </w:rPr>
          <w:fldChar w:fldCharType="end"/>
        </w:r>
      </w:hyperlink>
    </w:p>
    <w:p w:rsidR="00F249EF" w:rsidRDefault="00F249EF">
      <w:pPr>
        <w:pStyle w:val="TOC2"/>
        <w:tabs>
          <w:tab w:val="right" w:leader="dot" w:pos="8302"/>
        </w:tabs>
        <w:rPr>
          <w:rFonts w:cs="Times New Roman"/>
          <w:noProof/>
          <w:sz w:val="24"/>
          <w:rtl/>
          <w:lang w:eastAsia="en-US"/>
        </w:rPr>
      </w:pPr>
      <w:hyperlink w:anchor="_Toc151956799" w:history="1">
        <w:r w:rsidRPr="002855B6">
          <w:rPr>
            <w:rStyle w:val="Hyperlink"/>
            <w:noProof/>
            <w:rtl/>
          </w:rPr>
          <w:t>א.2. מבנה הפיקוח על מיזוגים בישראל</w:t>
        </w:r>
        <w:r>
          <w:rPr>
            <w:noProof/>
            <w:webHidden/>
            <w:rtl/>
          </w:rPr>
          <w:tab/>
        </w:r>
        <w:r>
          <w:rPr>
            <w:rStyle w:val="Hyperlink"/>
            <w:noProof/>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Toc151956799 \h</w:instrText>
        </w:r>
        <w:r>
          <w:rPr>
            <w:noProof/>
            <w:webHidden/>
            <w:rtl/>
          </w:rPr>
          <w:instrText xml:space="preserve"> </w:instrText>
        </w:r>
        <w:r w:rsidRPr="00F249EF">
          <w:rPr>
            <w:noProof/>
            <w:color w:val="0000FF"/>
            <w:u w:val="single"/>
          </w:rPr>
        </w:r>
        <w:r>
          <w:rPr>
            <w:rStyle w:val="Hyperlink"/>
            <w:noProof/>
            <w:rtl/>
          </w:rPr>
          <w:fldChar w:fldCharType="separate"/>
        </w:r>
        <w:r w:rsidR="00C55EBD">
          <w:rPr>
            <w:noProof/>
            <w:webHidden/>
            <w:rtl/>
          </w:rPr>
          <w:t>6</w:t>
        </w:r>
        <w:r>
          <w:rPr>
            <w:rStyle w:val="Hyperlink"/>
            <w:noProof/>
            <w:rtl/>
          </w:rPr>
          <w:fldChar w:fldCharType="end"/>
        </w:r>
      </w:hyperlink>
    </w:p>
    <w:p w:rsidR="00F249EF" w:rsidRDefault="00F249EF">
      <w:pPr>
        <w:pStyle w:val="TOC1"/>
        <w:rPr>
          <w:rFonts w:cs="Times New Roman"/>
          <w:b w:val="0"/>
          <w:bCs w:val="0"/>
          <w:sz w:val="24"/>
          <w:rtl/>
          <w:lang w:eastAsia="en-US"/>
        </w:rPr>
      </w:pPr>
      <w:hyperlink w:anchor="_Toc151956800" w:history="1">
        <w:r w:rsidRPr="002855B6">
          <w:rPr>
            <w:rStyle w:val="Hyperlink"/>
            <w:rtl/>
          </w:rPr>
          <w:t>ב. משמעות תחולת פרק המיזוגים על עסקת מיזוג: חובת הפנייה המוקדמת וחובת ההמתנה</w:t>
        </w:r>
        <w:r>
          <w:rPr>
            <w:webHidden/>
            <w:rtl/>
          </w:rPr>
          <w:tab/>
        </w:r>
        <w:r>
          <w:rPr>
            <w:rStyle w:val="Hyperlink"/>
            <w:rtl/>
          </w:rPr>
          <w:fldChar w:fldCharType="begin"/>
        </w:r>
        <w:r>
          <w:rPr>
            <w:webHidden/>
            <w:rtl/>
          </w:rPr>
          <w:instrText xml:space="preserve"> </w:instrText>
        </w:r>
        <w:r>
          <w:rPr>
            <w:webHidden/>
          </w:rPr>
          <w:instrText>PAGEREF</w:instrText>
        </w:r>
        <w:r>
          <w:rPr>
            <w:webHidden/>
            <w:rtl/>
          </w:rPr>
          <w:instrText xml:space="preserve"> _</w:instrText>
        </w:r>
        <w:r>
          <w:rPr>
            <w:webHidden/>
          </w:rPr>
          <w:instrText>Toc151956800 \h</w:instrText>
        </w:r>
        <w:r>
          <w:rPr>
            <w:webHidden/>
            <w:rtl/>
          </w:rPr>
          <w:instrText xml:space="preserve"> </w:instrText>
        </w:r>
        <w:r w:rsidRPr="00F249EF">
          <w:rPr>
            <w:color w:val="0000FF"/>
            <w:u w:val="single"/>
          </w:rPr>
        </w:r>
        <w:r>
          <w:rPr>
            <w:rStyle w:val="Hyperlink"/>
            <w:rtl/>
          </w:rPr>
          <w:fldChar w:fldCharType="separate"/>
        </w:r>
        <w:r w:rsidR="00C55EBD">
          <w:rPr>
            <w:webHidden/>
            <w:rtl/>
          </w:rPr>
          <w:t>7</w:t>
        </w:r>
        <w:r>
          <w:rPr>
            <w:rStyle w:val="Hyperlink"/>
            <w:rtl/>
          </w:rPr>
          <w:fldChar w:fldCharType="end"/>
        </w:r>
      </w:hyperlink>
    </w:p>
    <w:p w:rsidR="00F249EF" w:rsidRDefault="00F249EF">
      <w:pPr>
        <w:pStyle w:val="TOC2"/>
        <w:tabs>
          <w:tab w:val="right" w:leader="dot" w:pos="8302"/>
        </w:tabs>
        <w:rPr>
          <w:rFonts w:cs="Times New Roman"/>
          <w:noProof/>
          <w:sz w:val="24"/>
          <w:rtl/>
          <w:lang w:eastAsia="en-US"/>
        </w:rPr>
      </w:pPr>
      <w:hyperlink w:anchor="_Toc151956801" w:history="1">
        <w:r w:rsidRPr="002855B6">
          <w:rPr>
            <w:rStyle w:val="Hyperlink"/>
            <w:noProof/>
            <w:rtl/>
          </w:rPr>
          <w:t>ב.1. כללי</w:t>
        </w:r>
        <w:r>
          <w:rPr>
            <w:noProof/>
            <w:webHidden/>
            <w:rtl/>
          </w:rPr>
          <w:tab/>
        </w:r>
        <w:r>
          <w:rPr>
            <w:rStyle w:val="Hyperlink"/>
            <w:noProof/>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Toc151956801 \h</w:instrText>
        </w:r>
        <w:r>
          <w:rPr>
            <w:noProof/>
            <w:webHidden/>
            <w:rtl/>
          </w:rPr>
          <w:instrText xml:space="preserve"> </w:instrText>
        </w:r>
        <w:r w:rsidRPr="00F249EF">
          <w:rPr>
            <w:noProof/>
            <w:color w:val="0000FF"/>
            <w:u w:val="single"/>
          </w:rPr>
        </w:r>
        <w:r>
          <w:rPr>
            <w:rStyle w:val="Hyperlink"/>
            <w:noProof/>
            <w:rtl/>
          </w:rPr>
          <w:fldChar w:fldCharType="separate"/>
        </w:r>
        <w:r w:rsidR="00C55EBD">
          <w:rPr>
            <w:noProof/>
            <w:webHidden/>
            <w:rtl/>
          </w:rPr>
          <w:t>7</w:t>
        </w:r>
        <w:r>
          <w:rPr>
            <w:rStyle w:val="Hyperlink"/>
            <w:noProof/>
            <w:rtl/>
          </w:rPr>
          <w:fldChar w:fldCharType="end"/>
        </w:r>
      </w:hyperlink>
    </w:p>
    <w:p w:rsidR="00F249EF" w:rsidRDefault="00F249EF">
      <w:pPr>
        <w:pStyle w:val="TOC2"/>
        <w:tabs>
          <w:tab w:val="right" w:leader="dot" w:pos="8302"/>
        </w:tabs>
        <w:rPr>
          <w:rFonts w:cs="Times New Roman"/>
          <w:noProof/>
          <w:sz w:val="24"/>
          <w:rtl/>
          <w:lang w:eastAsia="en-US"/>
        </w:rPr>
      </w:pPr>
      <w:hyperlink w:anchor="_Toc151956802" w:history="1">
        <w:r w:rsidRPr="002855B6">
          <w:rPr>
            <w:rStyle w:val="Hyperlink"/>
            <w:noProof/>
            <w:rtl/>
          </w:rPr>
          <w:t>ב.2. מה נחשב למעשה של "מיזוג בפועל"?</w:t>
        </w:r>
        <w:r>
          <w:rPr>
            <w:noProof/>
            <w:webHidden/>
            <w:rtl/>
          </w:rPr>
          <w:tab/>
        </w:r>
        <w:r>
          <w:rPr>
            <w:rStyle w:val="Hyperlink"/>
            <w:noProof/>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Toc151956802 \h</w:instrText>
        </w:r>
        <w:r>
          <w:rPr>
            <w:noProof/>
            <w:webHidden/>
            <w:rtl/>
          </w:rPr>
          <w:instrText xml:space="preserve"> </w:instrText>
        </w:r>
        <w:r w:rsidRPr="00F249EF">
          <w:rPr>
            <w:noProof/>
            <w:color w:val="0000FF"/>
            <w:u w:val="single"/>
          </w:rPr>
        </w:r>
        <w:r>
          <w:rPr>
            <w:rStyle w:val="Hyperlink"/>
            <w:noProof/>
            <w:rtl/>
          </w:rPr>
          <w:fldChar w:fldCharType="separate"/>
        </w:r>
        <w:r w:rsidR="00C55EBD">
          <w:rPr>
            <w:noProof/>
            <w:webHidden/>
            <w:rtl/>
          </w:rPr>
          <w:t>9</w:t>
        </w:r>
        <w:r>
          <w:rPr>
            <w:rStyle w:val="Hyperlink"/>
            <w:noProof/>
            <w:rtl/>
          </w:rPr>
          <w:fldChar w:fldCharType="end"/>
        </w:r>
      </w:hyperlink>
    </w:p>
    <w:p w:rsidR="00F249EF" w:rsidRDefault="00F249EF">
      <w:pPr>
        <w:pStyle w:val="TOC2"/>
        <w:tabs>
          <w:tab w:val="right" w:leader="dot" w:pos="8302"/>
        </w:tabs>
        <w:rPr>
          <w:rFonts w:cs="Times New Roman"/>
          <w:noProof/>
          <w:sz w:val="24"/>
          <w:rtl/>
          <w:lang w:eastAsia="en-US"/>
        </w:rPr>
      </w:pPr>
      <w:hyperlink w:anchor="_Toc151956803" w:history="1">
        <w:r w:rsidRPr="002855B6">
          <w:rPr>
            <w:rStyle w:val="Hyperlink"/>
            <w:noProof/>
            <w:rtl/>
          </w:rPr>
          <w:t>ב.3. מועד הדיווח על רכישת מניות ואופציות</w:t>
        </w:r>
        <w:r>
          <w:rPr>
            <w:noProof/>
            <w:webHidden/>
            <w:rtl/>
          </w:rPr>
          <w:tab/>
        </w:r>
        <w:r>
          <w:rPr>
            <w:rStyle w:val="Hyperlink"/>
            <w:noProof/>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Toc151956803 \h</w:instrText>
        </w:r>
        <w:r>
          <w:rPr>
            <w:noProof/>
            <w:webHidden/>
            <w:rtl/>
          </w:rPr>
          <w:instrText xml:space="preserve"> </w:instrText>
        </w:r>
        <w:r w:rsidRPr="00F249EF">
          <w:rPr>
            <w:noProof/>
            <w:color w:val="0000FF"/>
            <w:u w:val="single"/>
          </w:rPr>
        </w:r>
        <w:r>
          <w:rPr>
            <w:rStyle w:val="Hyperlink"/>
            <w:noProof/>
            <w:rtl/>
          </w:rPr>
          <w:fldChar w:fldCharType="separate"/>
        </w:r>
        <w:r w:rsidR="00C55EBD">
          <w:rPr>
            <w:noProof/>
            <w:webHidden/>
            <w:rtl/>
          </w:rPr>
          <w:t>10</w:t>
        </w:r>
        <w:r>
          <w:rPr>
            <w:rStyle w:val="Hyperlink"/>
            <w:noProof/>
            <w:rtl/>
          </w:rPr>
          <w:fldChar w:fldCharType="end"/>
        </w:r>
      </w:hyperlink>
    </w:p>
    <w:p w:rsidR="00F249EF" w:rsidRDefault="00F249EF">
      <w:pPr>
        <w:pStyle w:val="TOC1"/>
        <w:tabs>
          <w:tab w:val="left" w:pos="720"/>
        </w:tabs>
        <w:rPr>
          <w:rFonts w:cs="Times New Roman"/>
          <w:b w:val="0"/>
          <w:bCs w:val="0"/>
          <w:sz w:val="24"/>
          <w:rtl/>
          <w:lang w:eastAsia="en-US"/>
        </w:rPr>
      </w:pPr>
      <w:hyperlink w:anchor="_Toc151956804" w:history="1">
        <w:r w:rsidRPr="002855B6">
          <w:rPr>
            <w:rStyle w:val="Hyperlink"/>
            <w:rtl/>
          </w:rPr>
          <w:t>ג.</w:t>
        </w:r>
        <w:r>
          <w:rPr>
            <w:rFonts w:cs="Times New Roman"/>
            <w:b w:val="0"/>
            <w:bCs w:val="0"/>
            <w:sz w:val="24"/>
            <w:rtl/>
            <w:lang w:eastAsia="en-US"/>
          </w:rPr>
          <w:tab/>
        </w:r>
        <w:r w:rsidRPr="002855B6">
          <w:rPr>
            <w:rStyle w:val="Hyperlink"/>
            <w:rtl/>
          </w:rPr>
          <w:t>סיווג העסקה - מהו מיזוג חברות?</w:t>
        </w:r>
        <w:r>
          <w:rPr>
            <w:webHidden/>
            <w:rtl/>
          </w:rPr>
          <w:tab/>
        </w:r>
        <w:r>
          <w:rPr>
            <w:rStyle w:val="Hyperlink"/>
            <w:rtl/>
          </w:rPr>
          <w:fldChar w:fldCharType="begin"/>
        </w:r>
        <w:r>
          <w:rPr>
            <w:webHidden/>
            <w:rtl/>
          </w:rPr>
          <w:instrText xml:space="preserve"> </w:instrText>
        </w:r>
        <w:r>
          <w:rPr>
            <w:webHidden/>
          </w:rPr>
          <w:instrText>PAGEREF</w:instrText>
        </w:r>
        <w:r>
          <w:rPr>
            <w:webHidden/>
            <w:rtl/>
          </w:rPr>
          <w:instrText xml:space="preserve"> _</w:instrText>
        </w:r>
        <w:r>
          <w:rPr>
            <w:webHidden/>
          </w:rPr>
          <w:instrText>Toc151956804 \h</w:instrText>
        </w:r>
        <w:r>
          <w:rPr>
            <w:webHidden/>
            <w:rtl/>
          </w:rPr>
          <w:instrText xml:space="preserve"> </w:instrText>
        </w:r>
        <w:r w:rsidRPr="00F249EF">
          <w:rPr>
            <w:color w:val="0000FF"/>
            <w:u w:val="single"/>
          </w:rPr>
        </w:r>
        <w:r>
          <w:rPr>
            <w:rStyle w:val="Hyperlink"/>
            <w:rtl/>
          </w:rPr>
          <w:fldChar w:fldCharType="separate"/>
        </w:r>
        <w:r w:rsidR="00C55EBD">
          <w:rPr>
            <w:webHidden/>
            <w:rtl/>
          </w:rPr>
          <w:t>12</w:t>
        </w:r>
        <w:r>
          <w:rPr>
            <w:rStyle w:val="Hyperlink"/>
            <w:rtl/>
          </w:rPr>
          <w:fldChar w:fldCharType="end"/>
        </w:r>
      </w:hyperlink>
    </w:p>
    <w:p w:rsidR="00F249EF" w:rsidRDefault="00F249EF">
      <w:pPr>
        <w:pStyle w:val="TOC2"/>
        <w:tabs>
          <w:tab w:val="right" w:leader="dot" w:pos="8302"/>
        </w:tabs>
        <w:rPr>
          <w:rFonts w:cs="Times New Roman"/>
          <w:noProof/>
          <w:sz w:val="24"/>
          <w:rtl/>
          <w:lang w:eastAsia="en-US"/>
        </w:rPr>
      </w:pPr>
      <w:hyperlink w:anchor="_Toc151956805" w:history="1">
        <w:r w:rsidRPr="002855B6">
          <w:rPr>
            <w:rStyle w:val="Hyperlink"/>
            <w:noProof/>
            <w:rtl/>
          </w:rPr>
          <w:t>ג.1. כללי</w:t>
        </w:r>
        <w:r>
          <w:rPr>
            <w:noProof/>
            <w:webHidden/>
            <w:rtl/>
          </w:rPr>
          <w:tab/>
        </w:r>
        <w:r>
          <w:rPr>
            <w:rStyle w:val="Hyperlink"/>
            <w:noProof/>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Toc151956805 \h</w:instrText>
        </w:r>
        <w:r>
          <w:rPr>
            <w:noProof/>
            <w:webHidden/>
            <w:rtl/>
          </w:rPr>
          <w:instrText xml:space="preserve"> </w:instrText>
        </w:r>
        <w:r w:rsidRPr="00F249EF">
          <w:rPr>
            <w:noProof/>
            <w:color w:val="0000FF"/>
            <w:u w:val="single"/>
          </w:rPr>
        </w:r>
        <w:r>
          <w:rPr>
            <w:rStyle w:val="Hyperlink"/>
            <w:noProof/>
            <w:rtl/>
          </w:rPr>
          <w:fldChar w:fldCharType="separate"/>
        </w:r>
        <w:r w:rsidR="00C55EBD">
          <w:rPr>
            <w:noProof/>
            <w:webHidden/>
            <w:rtl/>
          </w:rPr>
          <w:t>12</w:t>
        </w:r>
        <w:r>
          <w:rPr>
            <w:rStyle w:val="Hyperlink"/>
            <w:noProof/>
            <w:rtl/>
          </w:rPr>
          <w:fldChar w:fldCharType="end"/>
        </w:r>
      </w:hyperlink>
    </w:p>
    <w:p w:rsidR="00F249EF" w:rsidRDefault="00F249EF">
      <w:pPr>
        <w:pStyle w:val="TOC2"/>
        <w:tabs>
          <w:tab w:val="right" w:leader="dot" w:pos="8302"/>
        </w:tabs>
        <w:rPr>
          <w:rFonts w:cs="Times New Roman"/>
          <w:noProof/>
          <w:sz w:val="24"/>
          <w:rtl/>
          <w:lang w:eastAsia="en-US"/>
        </w:rPr>
      </w:pPr>
      <w:hyperlink w:anchor="_Toc151956806" w:history="1">
        <w:r w:rsidRPr="002855B6">
          <w:rPr>
            <w:rStyle w:val="Hyperlink"/>
            <w:noProof/>
            <w:rtl/>
          </w:rPr>
          <w:t>ג.2. מיזוג על פי הרובד הכללי הרחב</w:t>
        </w:r>
        <w:r>
          <w:rPr>
            <w:noProof/>
            <w:webHidden/>
            <w:rtl/>
          </w:rPr>
          <w:tab/>
        </w:r>
        <w:r>
          <w:rPr>
            <w:rStyle w:val="Hyperlink"/>
            <w:noProof/>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Toc151956806 \h</w:instrText>
        </w:r>
        <w:r>
          <w:rPr>
            <w:noProof/>
            <w:webHidden/>
            <w:rtl/>
          </w:rPr>
          <w:instrText xml:space="preserve"> </w:instrText>
        </w:r>
        <w:r w:rsidRPr="00F249EF">
          <w:rPr>
            <w:noProof/>
            <w:color w:val="0000FF"/>
            <w:u w:val="single"/>
          </w:rPr>
        </w:r>
        <w:r>
          <w:rPr>
            <w:rStyle w:val="Hyperlink"/>
            <w:noProof/>
            <w:rtl/>
          </w:rPr>
          <w:fldChar w:fldCharType="separate"/>
        </w:r>
        <w:r w:rsidR="00C55EBD">
          <w:rPr>
            <w:noProof/>
            <w:webHidden/>
            <w:rtl/>
          </w:rPr>
          <w:t>13</w:t>
        </w:r>
        <w:r>
          <w:rPr>
            <w:rStyle w:val="Hyperlink"/>
            <w:noProof/>
            <w:rtl/>
          </w:rPr>
          <w:fldChar w:fldCharType="end"/>
        </w:r>
      </w:hyperlink>
    </w:p>
    <w:p w:rsidR="00F249EF" w:rsidRDefault="00F249EF">
      <w:pPr>
        <w:pStyle w:val="TOC2"/>
        <w:tabs>
          <w:tab w:val="right" w:leader="dot" w:pos="8302"/>
        </w:tabs>
        <w:rPr>
          <w:rFonts w:cs="Times New Roman"/>
          <w:noProof/>
          <w:sz w:val="24"/>
          <w:rtl/>
          <w:lang w:eastAsia="en-US"/>
        </w:rPr>
      </w:pPr>
      <w:hyperlink w:anchor="_Toc151956807" w:history="1">
        <w:r w:rsidRPr="002855B6">
          <w:rPr>
            <w:rStyle w:val="Hyperlink"/>
            <w:noProof/>
            <w:rtl/>
          </w:rPr>
          <w:t>ג.3. המקרים הפרטניים המקימים מיזוג חברות</w:t>
        </w:r>
        <w:r>
          <w:rPr>
            <w:noProof/>
            <w:webHidden/>
            <w:rtl/>
          </w:rPr>
          <w:tab/>
        </w:r>
        <w:r>
          <w:rPr>
            <w:rStyle w:val="Hyperlink"/>
            <w:noProof/>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Toc151956807 \h</w:instrText>
        </w:r>
        <w:r>
          <w:rPr>
            <w:noProof/>
            <w:webHidden/>
            <w:rtl/>
          </w:rPr>
          <w:instrText xml:space="preserve"> </w:instrText>
        </w:r>
        <w:r w:rsidRPr="00F249EF">
          <w:rPr>
            <w:noProof/>
            <w:color w:val="0000FF"/>
            <w:u w:val="single"/>
          </w:rPr>
        </w:r>
        <w:r>
          <w:rPr>
            <w:rStyle w:val="Hyperlink"/>
            <w:noProof/>
            <w:rtl/>
          </w:rPr>
          <w:fldChar w:fldCharType="separate"/>
        </w:r>
        <w:r w:rsidR="00C55EBD">
          <w:rPr>
            <w:noProof/>
            <w:webHidden/>
            <w:rtl/>
          </w:rPr>
          <w:t>15</w:t>
        </w:r>
        <w:r>
          <w:rPr>
            <w:rStyle w:val="Hyperlink"/>
            <w:noProof/>
            <w:rtl/>
          </w:rPr>
          <w:fldChar w:fldCharType="end"/>
        </w:r>
      </w:hyperlink>
    </w:p>
    <w:p w:rsidR="00F249EF" w:rsidRDefault="00F249EF">
      <w:pPr>
        <w:pStyle w:val="TOC1"/>
        <w:tabs>
          <w:tab w:val="left" w:pos="720"/>
        </w:tabs>
        <w:rPr>
          <w:rFonts w:cs="Times New Roman"/>
          <w:b w:val="0"/>
          <w:bCs w:val="0"/>
          <w:sz w:val="24"/>
          <w:rtl/>
          <w:lang w:eastAsia="en-US"/>
        </w:rPr>
      </w:pPr>
      <w:hyperlink w:anchor="_Toc151956808" w:history="1">
        <w:r w:rsidRPr="002855B6">
          <w:rPr>
            <w:rStyle w:val="Hyperlink"/>
            <w:rtl/>
            <w:lang w:eastAsia="en-US"/>
          </w:rPr>
          <w:t>ד.</w:t>
        </w:r>
        <w:r>
          <w:rPr>
            <w:rFonts w:cs="Times New Roman"/>
            <w:b w:val="0"/>
            <w:bCs w:val="0"/>
            <w:sz w:val="24"/>
            <w:rtl/>
            <w:lang w:eastAsia="en-US"/>
          </w:rPr>
          <w:tab/>
        </w:r>
        <w:r w:rsidRPr="002855B6">
          <w:rPr>
            <w:rStyle w:val="Hyperlink"/>
            <w:rtl/>
            <w:lang w:eastAsia="en-US"/>
          </w:rPr>
          <w:t>סיווג העסקה: מיהי "חברה" לצורך פרק מיזוגי החברות</w:t>
        </w:r>
        <w:r>
          <w:rPr>
            <w:webHidden/>
            <w:rtl/>
          </w:rPr>
          <w:tab/>
        </w:r>
        <w:r>
          <w:rPr>
            <w:rStyle w:val="Hyperlink"/>
            <w:rtl/>
          </w:rPr>
          <w:fldChar w:fldCharType="begin"/>
        </w:r>
        <w:r>
          <w:rPr>
            <w:webHidden/>
            <w:rtl/>
          </w:rPr>
          <w:instrText xml:space="preserve"> </w:instrText>
        </w:r>
        <w:r>
          <w:rPr>
            <w:webHidden/>
          </w:rPr>
          <w:instrText>PAGEREF</w:instrText>
        </w:r>
        <w:r>
          <w:rPr>
            <w:webHidden/>
            <w:rtl/>
          </w:rPr>
          <w:instrText xml:space="preserve"> _</w:instrText>
        </w:r>
        <w:r>
          <w:rPr>
            <w:webHidden/>
          </w:rPr>
          <w:instrText>Toc151956808 \h</w:instrText>
        </w:r>
        <w:r>
          <w:rPr>
            <w:webHidden/>
            <w:rtl/>
          </w:rPr>
          <w:instrText xml:space="preserve"> </w:instrText>
        </w:r>
        <w:r w:rsidRPr="00F249EF">
          <w:rPr>
            <w:color w:val="0000FF"/>
            <w:u w:val="single"/>
          </w:rPr>
        </w:r>
        <w:r>
          <w:rPr>
            <w:rStyle w:val="Hyperlink"/>
            <w:rtl/>
          </w:rPr>
          <w:fldChar w:fldCharType="separate"/>
        </w:r>
        <w:r w:rsidR="00C55EBD">
          <w:rPr>
            <w:webHidden/>
            <w:rtl/>
          </w:rPr>
          <w:t>22</w:t>
        </w:r>
        <w:r>
          <w:rPr>
            <w:rStyle w:val="Hyperlink"/>
            <w:rtl/>
          </w:rPr>
          <w:fldChar w:fldCharType="end"/>
        </w:r>
      </w:hyperlink>
    </w:p>
    <w:p w:rsidR="00F249EF" w:rsidRDefault="00F249EF">
      <w:pPr>
        <w:pStyle w:val="TOC2"/>
        <w:tabs>
          <w:tab w:val="right" w:leader="dot" w:pos="8302"/>
        </w:tabs>
        <w:rPr>
          <w:rFonts w:cs="Times New Roman"/>
          <w:noProof/>
          <w:sz w:val="24"/>
          <w:rtl/>
          <w:lang w:eastAsia="en-US"/>
        </w:rPr>
      </w:pPr>
      <w:hyperlink w:anchor="_Toc151956809" w:history="1">
        <w:r w:rsidRPr="002855B6">
          <w:rPr>
            <w:rStyle w:val="Hyperlink"/>
            <w:noProof/>
            <w:rtl/>
          </w:rPr>
          <w:t>ד.1. כללי</w:t>
        </w:r>
        <w:r>
          <w:rPr>
            <w:noProof/>
            <w:webHidden/>
            <w:rtl/>
          </w:rPr>
          <w:tab/>
        </w:r>
        <w:r>
          <w:rPr>
            <w:rStyle w:val="Hyperlink"/>
            <w:noProof/>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Toc151956809 \h</w:instrText>
        </w:r>
        <w:r>
          <w:rPr>
            <w:noProof/>
            <w:webHidden/>
            <w:rtl/>
          </w:rPr>
          <w:instrText xml:space="preserve"> </w:instrText>
        </w:r>
        <w:r w:rsidRPr="00F249EF">
          <w:rPr>
            <w:noProof/>
            <w:color w:val="0000FF"/>
            <w:u w:val="single"/>
          </w:rPr>
        </w:r>
        <w:r>
          <w:rPr>
            <w:rStyle w:val="Hyperlink"/>
            <w:noProof/>
            <w:rtl/>
          </w:rPr>
          <w:fldChar w:fldCharType="separate"/>
        </w:r>
        <w:r w:rsidR="00C55EBD">
          <w:rPr>
            <w:noProof/>
            <w:webHidden/>
            <w:rtl/>
          </w:rPr>
          <w:t>22</w:t>
        </w:r>
        <w:r>
          <w:rPr>
            <w:rStyle w:val="Hyperlink"/>
            <w:noProof/>
            <w:rtl/>
          </w:rPr>
          <w:fldChar w:fldCharType="end"/>
        </w:r>
      </w:hyperlink>
    </w:p>
    <w:p w:rsidR="00F249EF" w:rsidRDefault="00F249EF">
      <w:pPr>
        <w:pStyle w:val="TOC2"/>
        <w:tabs>
          <w:tab w:val="right" w:leader="dot" w:pos="8302"/>
        </w:tabs>
        <w:rPr>
          <w:rFonts w:cs="Times New Roman"/>
          <w:noProof/>
          <w:sz w:val="24"/>
          <w:rtl/>
          <w:lang w:eastAsia="en-US"/>
        </w:rPr>
      </w:pPr>
      <w:hyperlink w:anchor="_Toc151956810" w:history="1">
        <w:r w:rsidRPr="002855B6">
          <w:rPr>
            <w:rStyle w:val="Hyperlink"/>
            <w:noProof/>
            <w:rtl/>
          </w:rPr>
          <w:t>ד.2. רכישת זכויות על ידי אדם פרטי</w:t>
        </w:r>
        <w:r>
          <w:rPr>
            <w:noProof/>
            <w:webHidden/>
            <w:rtl/>
          </w:rPr>
          <w:tab/>
        </w:r>
        <w:r>
          <w:rPr>
            <w:rStyle w:val="Hyperlink"/>
            <w:noProof/>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Toc151956810 \h</w:instrText>
        </w:r>
        <w:r>
          <w:rPr>
            <w:noProof/>
            <w:webHidden/>
            <w:rtl/>
          </w:rPr>
          <w:instrText xml:space="preserve"> </w:instrText>
        </w:r>
        <w:r w:rsidRPr="00F249EF">
          <w:rPr>
            <w:noProof/>
            <w:color w:val="0000FF"/>
            <w:u w:val="single"/>
          </w:rPr>
        </w:r>
        <w:r>
          <w:rPr>
            <w:rStyle w:val="Hyperlink"/>
            <w:noProof/>
            <w:rtl/>
          </w:rPr>
          <w:fldChar w:fldCharType="separate"/>
        </w:r>
        <w:r w:rsidR="00C55EBD">
          <w:rPr>
            <w:noProof/>
            <w:webHidden/>
            <w:rtl/>
          </w:rPr>
          <w:t>22</w:t>
        </w:r>
        <w:r>
          <w:rPr>
            <w:rStyle w:val="Hyperlink"/>
            <w:noProof/>
            <w:rtl/>
          </w:rPr>
          <w:fldChar w:fldCharType="end"/>
        </w:r>
      </w:hyperlink>
    </w:p>
    <w:p w:rsidR="00F249EF" w:rsidRDefault="00F249EF">
      <w:pPr>
        <w:pStyle w:val="TOC2"/>
        <w:tabs>
          <w:tab w:val="right" w:leader="dot" w:pos="8302"/>
        </w:tabs>
        <w:rPr>
          <w:rFonts w:cs="Times New Roman"/>
          <w:noProof/>
          <w:sz w:val="24"/>
          <w:rtl/>
          <w:lang w:eastAsia="en-US"/>
        </w:rPr>
      </w:pPr>
      <w:hyperlink w:anchor="_Toc151956811" w:history="1">
        <w:r w:rsidRPr="002855B6">
          <w:rPr>
            <w:rStyle w:val="Hyperlink"/>
            <w:noProof/>
            <w:rtl/>
          </w:rPr>
          <w:t>ד.3. עסקת מיזוג שצד לה היא חברה זרה</w:t>
        </w:r>
        <w:r>
          <w:rPr>
            <w:noProof/>
            <w:webHidden/>
            <w:rtl/>
          </w:rPr>
          <w:tab/>
        </w:r>
        <w:r>
          <w:rPr>
            <w:rStyle w:val="Hyperlink"/>
            <w:noProof/>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Toc151956811 \h</w:instrText>
        </w:r>
        <w:r>
          <w:rPr>
            <w:noProof/>
            <w:webHidden/>
            <w:rtl/>
          </w:rPr>
          <w:instrText xml:space="preserve"> </w:instrText>
        </w:r>
        <w:r w:rsidRPr="00F249EF">
          <w:rPr>
            <w:noProof/>
            <w:color w:val="0000FF"/>
            <w:u w:val="single"/>
          </w:rPr>
        </w:r>
        <w:r>
          <w:rPr>
            <w:rStyle w:val="Hyperlink"/>
            <w:noProof/>
            <w:rtl/>
          </w:rPr>
          <w:fldChar w:fldCharType="separate"/>
        </w:r>
        <w:r w:rsidR="00C55EBD">
          <w:rPr>
            <w:noProof/>
            <w:webHidden/>
            <w:rtl/>
          </w:rPr>
          <w:t>23</w:t>
        </w:r>
        <w:r>
          <w:rPr>
            <w:rStyle w:val="Hyperlink"/>
            <w:noProof/>
            <w:rtl/>
          </w:rPr>
          <w:fldChar w:fldCharType="end"/>
        </w:r>
      </w:hyperlink>
    </w:p>
    <w:p w:rsidR="00F249EF" w:rsidRDefault="00F249EF">
      <w:pPr>
        <w:pStyle w:val="TOC1"/>
        <w:rPr>
          <w:rFonts w:cs="Times New Roman"/>
          <w:b w:val="0"/>
          <w:bCs w:val="0"/>
          <w:sz w:val="24"/>
          <w:rtl/>
          <w:lang w:eastAsia="en-US"/>
        </w:rPr>
      </w:pPr>
      <w:hyperlink w:anchor="_Toc151956812" w:history="1">
        <w:r w:rsidRPr="002855B6">
          <w:rPr>
            <w:rStyle w:val="Hyperlink"/>
            <w:rtl/>
            <w:lang w:eastAsia="en-US"/>
          </w:rPr>
          <w:t>ה. האינטרס הציבורי בבחינת המיזוג – מתי קמה חובה להגיש הודעת מיזוג</w:t>
        </w:r>
        <w:r>
          <w:rPr>
            <w:webHidden/>
            <w:rtl/>
          </w:rPr>
          <w:tab/>
        </w:r>
        <w:r>
          <w:rPr>
            <w:rStyle w:val="Hyperlink"/>
            <w:rtl/>
          </w:rPr>
          <w:fldChar w:fldCharType="begin"/>
        </w:r>
        <w:r>
          <w:rPr>
            <w:webHidden/>
            <w:rtl/>
          </w:rPr>
          <w:instrText xml:space="preserve"> </w:instrText>
        </w:r>
        <w:r>
          <w:rPr>
            <w:webHidden/>
          </w:rPr>
          <w:instrText>PAGEREF</w:instrText>
        </w:r>
        <w:r>
          <w:rPr>
            <w:webHidden/>
            <w:rtl/>
          </w:rPr>
          <w:instrText xml:space="preserve"> _</w:instrText>
        </w:r>
        <w:r>
          <w:rPr>
            <w:webHidden/>
          </w:rPr>
          <w:instrText>Toc151956812 \h</w:instrText>
        </w:r>
        <w:r>
          <w:rPr>
            <w:webHidden/>
            <w:rtl/>
          </w:rPr>
          <w:instrText xml:space="preserve"> </w:instrText>
        </w:r>
        <w:r w:rsidRPr="00F249EF">
          <w:rPr>
            <w:color w:val="0000FF"/>
            <w:u w:val="single"/>
          </w:rPr>
        </w:r>
        <w:r>
          <w:rPr>
            <w:rStyle w:val="Hyperlink"/>
            <w:rtl/>
          </w:rPr>
          <w:fldChar w:fldCharType="separate"/>
        </w:r>
        <w:r w:rsidR="00C55EBD">
          <w:rPr>
            <w:webHidden/>
            <w:rtl/>
          </w:rPr>
          <w:t>24</w:t>
        </w:r>
        <w:r>
          <w:rPr>
            <w:rStyle w:val="Hyperlink"/>
            <w:rtl/>
          </w:rPr>
          <w:fldChar w:fldCharType="end"/>
        </w:r>
      </w:hyperlink>
    </w:p>
    <w:p w:rsidR="00F249EF" w:rsidRDefault="00F249EF">
      <w:pPr>
        <w:pStyle w:val="TOC2"/>
        <w:tabs>
          <w:tab w:val="right" w:leader="dot" w:pos="8302"/>
        </w:tabs>
        <w:rPr>
          <w:rFonts w:cs="Times New Roman"/>
          <w:noProof/>
          <w:sz w:val="24"/>
          <w:rtl/>
          <w:lang w:eastAsia="en-US"/>
        </w:rPr>
      </w:pPr>
      <w:hyperlink w:anchor="_Toc151956813" w:history="1">
        <w:r w:rsidRPr="002855B6">
          <w:rPr>
            <w:rStyle w:val="Hyperlink"/>
            <w:noProof/>
            <w:rtl/>
          </w:rPr>
          <w:t>ה.1. כללי</w:t>
        </w:r>
        <w:r>
          <w:rPr>
            <w:noProof/>
            <w:webHidden/>
            <w:rtl/>
          </w:rPr>
          <w:tab/>
        </w:r>
        <w:r>
          <w:rPr>
            <w:rStyle w:val="Hyperlink"/>
            <w:noProof/>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Toc151956813 \h</w:instrText>
        </w:r>
        <w:r>
          <w:rPr>
            <w:noProof/>
            <w:webHidden/>
            <w:rtl/>
          </w:rPr>
          <w:instrText xml:space="preserve"> </w:instrText>
        </w:r>
        <w:r w:rsidRPr="00F249EF">
          <w:rPr>
            <w:noProof/>
            <w:color w:val="0000FF"/>
            <w:u w:val="single"/>
          </w:rPr>
        </w:r>
        <w:r>
          <w:rPr>
            <w:rStyle w:val="Hyperlink"/>
            <w:noProof/>
            <w:rtl/>
          </w:rPr>
          <w:fldChar w:fldCharType="separate"/>
        </w:r>
        <w:r w:rsidR="00C55EBD">
          <w:rPr>
            <w:noProof/>
            <w:webHidden/>
            <w:rtl/>
          </w:rPr>
          <w:t>24</w:t>
        </w:r>
        <w:r>
          <w:rPr>
            <w:rStyle w:val="Hyperlink"/>
            <w:noProof/>
            <w:rtl/>
          </w:rPr>
          <w:fldChar w:fldCharType="end"/>
        </w:r>
      </w:hyperlink>
    </w:p>
    <w:p w:rsidR="00F249EF" w:rsidRDefault="00F249EF">
      <w:pPr>
        <w:pStyle w:val="TOC2"/>
        <w:tabs>
          <w:tab w:val="right" w:leader="dot" w:pos="8302"/>
        </w:tabs>
        <w:rPr>
          <w:rFonts w:cs="Times New Roman"/>
          <w:noProof/>
          <w:sz w:val="24"/>
          <w:rtl/>
          <w:lang w:eastAsia="en-US"/>
        </w:rPr>
      </w:pPr>
      <w:hyperlink w:anchor="_Toc151956814" w:history="1">
        <w:r w:rsidRPr="002855B6">
          <w:rPr>
            <w:rStyle w:val="Hyperlink"/>
            <w:noProof/>
            <w:rtl/>
          </w:rPr>
          <w:t>ה.2. חלופות המונופולין</w:t>
        </w:r>
        <w:r>
          <w:rPr>
            <w:noProof/>
            <w:webHidden/>
            <w:rtl/>
          </w:rPr>
          <w:tab/>
        </w:r>
        <w:r>
          <w:rPr>
            <w:rStyle w:val="Hyperlink"/>
            <w:noProof/>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Toc151956814 \h</w:instrText>
        </w:r>
        <w:r>
          <w:rPr>
            <w:noProof/>
            <w:webHidden/>
            <w:rtl/>
          </w:rPr>
          <w:instrText xml:space="preserve"> </w:instrText>
        </w:r>
        <w:r w:rsidRPr="00F249EF">
          <w:rPr>
            <w:noProof/>
            <w:color w:val="0000FF"/>
            <w:u w:val="single"/>
          </w:rPr>
        </w:r>
        <w:r>
          <w:rPr>
            <w:rStyle w:val="Hyperlink"/>
            <w:noProof/>
            <w:rtl/>
          </w:rPr>
          <w:fldChar w:fldCharType="separate"/>
        </w:r>
        <w:r w:rsidR="00C55EBD">
          <w:rPr>
            <w:noProof/>
            <w:webHidden/>
            <w:rtl/>
          </w:rPr>
          <w:t>25</w:t>
        </w:r>
        <w:r>
          <w:rPr>
            <w:rStyle w:val="Hyperlink"/>
            <w:noProof/>
            <w:rtl/>
          </w:rPr>
          <w:fldChar w:fldCharType="end"/>
        </w:r>
      </w:hyperlink>
    </w:p>
    <w:p w:rsidR="00F249EF" w:rsidRDefault="00F249EF">
      <w:pPr>
        <w:pStyle w:val="TOC2"/>
        <w:tabs>
          <w:tab w:val="right" w:leader="dot" w:pos="8302"/>
        </w:tabs>
        <w:rPr>
          <w:rFonts w:cs="Times New Roman"/>
          <w:noProof/>
          <w:sz w:val="24"/>
          <w:rtl/>
          <w:lang w:eastAsia="en-US"/>
        </w:rPr>
      </w:pPr>
      <w:hyperlink w:anchor="_Toc151956815" w:history="1">
        <w:r w:rsidRPr="002855B6">
          <w:rPr>
            <w:rStyle w:val="Hyperlink"/>
            <w:noProof/>
            <w:rtl/>
          </w:rPr>
          <w:t>ה.3. חלופת מחזור המכירות</w:t>
        </w:r>
        <w:r>
          <w:rPr>
            <w:noProof/>
            <w:webHidden/>
            <w:rtl/>
          </w:rPr>
          <w:tab/>
        </w:r>
        <w:r>
          <w:rPr>
            <w:rStyle w:val="Hyperlink"/>
            <w:noProof/>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Toc151956815 \h</w:instrText>
        </w:r>
        <w:r>
          <w:rPr>
            <w:noProof/>
            <w:webHidden/>
            <w:rtl/>
          </w:rPr>
          <w:instrText xml:space="preserve"> </w:instrText>
        </w:r>
        <w:r w:rsidRPr="00F249EF">
          <w:rPr>
            <w:noProof/>
            <w:color w:val="0000FF"/>
            <w:u w:val="single"/>
          </w:rPr>
        </w:r>
        <w:r>
          <w:rPr>
            <w:rStyle w:val="Hyperlink"/>
            <w:noProof/>
            <w:rtl/>
          </w:rPr>
          <w:fldChar w:fldCharType="separate"/>
        </w:r>
        <w:r w:rsidR="00C55EBD">
          <w:rPr>
            <w:noProof/>
            <w:webHidden/>
            <w:rtl/>
          </w:rPr>
          <w:t>28</w:t>
        </w:r>
        <w:r>
          <w:rPr>
            <w:rStyle w:val="Hyperlink"/>
            <w:noProof/>
            <w:rtl/>
          </w:rPr>
          <w:fldChar w:fldCharType="end"/>
        </w:r>
      </w:hyperlink>
    </w:p>
    <w:p w:rsidR="00F249EF" w:rsidRDefault="00F249EF">
      <w:pPr>
        <w:pStyle w:val="TOC1"/>
        <w:rPr>
          <w:rFonts w:cs="Times New Roman"/>
          <w:b w:val="0"/>
          <w:bCs w:val="0"/>
          <w:sz w:val="24"/>
          <w:rtl/>
          <w:lang w:eastAsia="en-US"/>
        </w:rPr>
      </w:pPr>
      <w:hyperlink w:anchor="_Toc151956816" w:history="1">
        <w:r w:rsidRPr="002855B6">
          <w:rPr>
            <w:rStyle w:val="Hyperlink"/>
            <w:rtl/>
            <w:lang w:eastAsia="en-US"/>
          </w:rPr>
          <w:t>ו. הליך בדיקת המיזוג</w:t>
        </w:r>
        <w:r>
          <w:rPr>
            <w:webHidden/>
            <w:rtl/>
          </w:rPr>
          <w:tab/>
        </w:r>
        <w:r>
          <w:rPr>
            <w:rStyle w:val="Hyperlink"/>
            <w:rtl/>
          </w:rPr>
          <w:fldChar w:fldCharType="begin"/>
        </w:r>
        <w:r>
          <w:rPr>
            <w:webHidden/>
            <w:rtl/>
          </w:rPr>
          <w:instrText xml:space="preserve"> </w:instrText>
        </w:r>
        <w:r>
          <w:rPr>
            <w:webHidden/>
          </w:rPr>
          <w:instrText>PAGEREF</w:instrText>
        </w:r>
        <w:r>
          <w:rPr>
            <w:webHidden/>
            <w:rtl/>
          </w:rPr>
          <w:instrText xml:space="preserve"> _</w:instrText>
        </w:r>
        <w:r>
          <w:rPr>
            <w:webHidden/>
          </w:rPr>
          <w:instrText>Toc151956816 \h</w:instrText>
        </w:r>
        <w:r>
          <w:rPr>
            <w:webHidden/>
            <w:rtl/>
          </w:rPr>
          <w:instrText xml:space="preserve"> </w:instrText>
        </w:r>
        <w:r w:rsidRPr="00F249EF">
          <w:rPr>
            <w:color w:val="0000FF"/>
            <w:u w:val="single"/>
          </w:rPr>
        </w:r>
        <w:r>
          <w:rPr>
            <w:rStyle w:val="Hyperlink"/>
            <w:rtl/>
          </w:rPr>
          <w:fldChar w:fldCharType="separate"/>
        </w:r>
        <w:r w:rsidR="00C55EBD">
          <w:rPr>
            <w:webHidden/>
            <w:rtl/>
          </w:rPr>
          <w:t>31</w:t>
        </w:r>
        <w:r>
          <w:rPr>
            <w:rStyle w:val="Hyperlink"/>
            <w:rtl/>
          </w:rPr>
          <w:fldChar w:fldCharType="end"/>
        </w:r>
      </w:hyperlink>
    </w:p>
    <w:p w:rsidR="00F249EF" w:rsidRDefault="00F249EF">
      <w:pPr>
        <w:pStyle w:val="TOC2"/>
        <w:tabs>
          <w:tab w:val="right" w:leader="dot" w:pos="8302"/>
        </w:tabs>
        <w:rPr>
          <w:rFonts w:cs="Times New Roman"/>
          <w:noProof/>
          <w:sz w:val="24"/>
          <w:rtl/>
          <w:lang w:eastAsia="en-US"/>
        </w:rPr>
      </w:pPr>
      <w:hyperlink w:anchor="_Toc151956817" w:history="1">
        <w:r w:rsidRPr="002855B6">
          <w:rPr>
            <w:rStyle w:val="Hyperlink"/>
            <w:noProof/>
            <w:rtl/>
          </w:rPr>
          <w:t>ו.1. כללי – כיצד נבדקים מיזוגים ברשות?</w:t>
        </w:r>
        <w:r>
          <w:rPr>
            <w:noProof/>
            <w:webHidden/>
            <w:rtl/>
          </w:rPr>
          <w:tab/>
        </w:r>
        <w:r>
          <w:rPr>
            <w:rStyle w:val="Hyperlink"/>
            <w:noProof/>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Toc151956817 \h</w:instrText>
        </w:r>
        <w:r>
          <w:rPr>
            <w:noProof/>
            <w:webHidden/>
            <w:rtl/>
          </w:rPr>
          <w:instrText xml:space="preserve"> </w:instrText>
        </w:r>
        <w:r w:rsidRPr="00F249EF">
          <w:rPr>
            <w:noProof/>
            <w:color w:val="0000FF"/>
            <w:u w:val="single"/>
          </w:rPr>
        </w:r>
        <w:r>
          <w:rPr>
            <w:rStyle w:val="Hyperlink"/>
            <w:noProof/>
            <w:rtl/>
          </w:rPr>
          <w:fldChar w:fldCharType="separate"/>
        </w:r>
        <w:r w:rsidR="00C55EBD">
          <w:rPr>
            <w:noProof/>
            <w:webHidden/>
            <w:rtl/>
          </w:rPr>
          <w:t>31</w:t>
        </w:r>
        <w:r>
          <w:rPr>
            <w:rStyle w:val="Hyperlink"/>
            <w:noProof/>
            <w:rtl/>
          </w:rPr>
          <w:fldChar w:fldCharType="end"/>
        </w:r>
      </w:hyperlink>
    </w:p>
    <w:p w:rsidR="00F249EF" w:rsidRDefault="00F249EF">
      <w:pPr>
        <w:pStyle w:val="TOC2"/>
        <w:tabs>
          <w:tab w:val="right" w:leader="dot" w:pos="8302"/>
        </w:tabs>
        <w:rPr>
          <w:rFonts w:cs="Times New Roman"/>
          <w:noProof/>
          <w:sz w:val="24"/>
          <w:rtl/>
          <w:lang w:eastAsia="en-US"/>
        </w:rPr>
      </w:pPr>
      <w:hyperlink w:anchor="_Toc151956818" w:history="1">
        <w:r w:rsidRPr="002855B6">
          <w:rPr>
            <w:rStyle w:val="Hyperlink"/>
            <w:noProof/>
            <w:rtl/>
          </w:rPr>
          <w:t>ו.2. מי צריך להגיש את הודעות המיזוג?</w:t>
        </w:r>
        <w:r>
          <w:rPr>
            <w:noProof/>
            <w:webHidden/>
            <w:rtl/>
          </w:rPr>
          <w:tab/>
        </w:r>
        <w:r>
          <w:rPr>
            <w:rStyle w:val="Hyperlink"/>
            <w:noProof/>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Toc151956818 \h</w:instrText>
        </w:r>
        <w:r>
          <w:rPr>
            <w:noProof/>
            <w:webHidden/>
            <w:rtl/>
          </w:rPr>
          <w:instrText xml:space="preserve"> </w:instrText>
        </w:r>
        <w:r w:rsidRPr="00F249EF">
          <w:rPr>
            <w:noProof/>
            <w:color w:val="0000FF"/>
            <w:u w:val="single"/>
          </w:rPr>
        </w:r>
        <w:r>
          <w:rPr>
            <w:rStyle w:val="Hyperlink"/>
            <w:noProof/>
            <w:rtl/>
          </w:rPr>
          <w:fldChar w:fldCharType="separate"/>
        </w:r>
        <w:r w:rsidR="00C55EBD">
          <w:rPr>
            <w:noProof/>
            <w:webHidden/>
            <w:rtl/>
          </w:rPr>
          <w:t>32</w:t>
        </w:r>
        <w:r>
          <w:rPr>
            <w:rStyle w:val="Hyperlink"/>
            <w:noProof/>
            <w:rtl/>
          </w:rPr>
          <w:fldChar w:fldCharType="end"/>
        </w:r>
      </w:hyperlink>
    </w:p>
    <w:p w:rsidR="00F249EF" w:rsidRDefault="00F249EF">
      <w:pPr>
        <w:pStyle w:val="TOC2"/>
        <w:tabs>
          <w:tab w:val="right" w:leader="dot" w:pos="8302"/>
        </w:tabs>
        <w:rPr>
          <w:rFonts w:cs="Times New Roman"/>
          <w:noProof/>
          <w:sz w:val="24"/>
          <w:rtl/>
          <w:lang w:eastAsia="en-US"/>
        </w:rPr>
      </w:pPr>
      <w:hyperlink w:anchor="_Toc151956819" w:history="1">
        <w:r w:rsidRPr="002855B6">
          <w:rPr>
            <w:rStyle w:val="Hyperlink"/>
            <w:noProof/>
            <w:rtl/>
          </w:rPr>
          <w:t>ו.3. כיצד ממלאים את טופס הודעת המיזוג?</w:t>
        </w:r>
        <w:r>
          <w:rPr>
            <w:noProof/>
            <w:webHidden/>
            <w:rtl/>
          </w:rPr>
          <w:tab/>
        </w:r>
        <w:r>
          <w:rPr>
            <w:rStyle w:val="Hyperlink"/>
            <w:noProof/>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Toc151956819 \h</w:instrText>
        </w:r>
        <w:r>
          <w:rPr>
            <w:noProof/>
            <w:webHidden/>
            <w:rtl/>
          </w:rPr>
          <w:instrText xml:space="preserve"> </w:instrText>
        </w:r>
        <w:r w:rsidRPr="00F249EF">
          <w:rPr>
            <w:noProof/>
            <w:color w:val="0000FF"/>
            <w:u w:val="single"/>
          </w:rPr>
        </w:r>
        <w:r>
          <w:rPr>
            <w:rStyle w:val="Hyperlink"/>
            <w:noProof/>
            <w:rtl/>
          </w:rPr>
          <w:fldChar w:fldCharType="separate"/>
        </w:r>
        <w:r w:rsidR="00C55EBD">
          <w:rPr>
            <w:noProof/>
            <w:webHidden/>
            <w:rtl/>
          </w:rPr>
          <w:t>32</w:t>
        </w:r>
        <w:r>
          <w:rPr>
            <w:rStyle w:val="Hyperlink"/>
            <w:noProof/>
            <w:rtl/>
          </w:rPr>
          <w:fldChar w:fldCharType="end"/>
        </w:r>
      </w:hyperlink>
    </w:p>
    <w:p w:rsidR="00F249EF" w:rsidRDefault="00F249EF">
      <w:pPr>
        <w:pStyle w:val="TOC2"/>
        <w:tabs>
          <w:tab w:val="right" w:leader="dot" w:pos="8302"/>
        </w:tabs>
        <w:rPr>
          <w:rFonts w:cs="Times New Roman"/>
          <w:noProof/>
          <w:sz w:val="24"/>
          <w:rtl/>
          <w:lang w:eastAsia="en-US"/>
        </w:rPr>
      </w:pPr>
      <w:hyperlink w:anchor="_Toc151956820" w:history="1">
        <w:r w:rsidRPr="002855B6">
          <w:rPr>
            <w:rStyle w:val="Hyperlink"/>
            <w:noProof/>
            <w:rtl/>
          </w:rPr>
          <w:t>ו.4. מהי הודעת מיזוג חסרה ומה תוקפה?</w:t>
        </w:r>
        <w:r>
          <w:rPr>
            <w:noProof/>
            <w:webHidden/>
            <w:rtl/>
          </w:rPr>
          <w:tab/>
        </w:r>
        <w:r>
          <w:rPr>
            <w:rStyle w:val="Hyperlink"/>
            <w:noProof/>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Toc151956820 \h</w:instrText>
        </w:r>
        <w:r>
          <w:rPr>
            <w:noProof/>
            <w:webHidden/>
            <w:rtl/>
          </w:rPr>
          <w:instrText xml:space="preserve"> </w:instrText>
        </w:r>
        <w:r w:rsidRPr="00F249EF">
          <w:rPr>
            <w:noProof/>
            <w:color w:val="0000FF"/>
            <w:u w:val="single"/>
          </w:rPr>
        </w:r>
        <w:r>
          <w:rPr>
            <w:rStyle w:val="Hyperlink"/>
            <w:noProof/>
            <w:rtl/>
          </w:rPr>
          <w:fldChar w:fldCharType="separate"/>
        </w:r>
        <w:r w:rsidR="00C55EBD">
          <w:rPr>
            <w:noProof/>
            <w:webHidden/>
            <w:rtl/>
          </w:rPr>
          <w:t>33</w:t>
        </w:r>
        <w:r>
          <w:rPr>
            <w:rStyle w:val="Hyperlink"/>
            <w:noProof/>
            <w:rtl/>
          </w:rPr>
          <w:fldChar w:fldCharType="end"/>
        </w:r>
      </w:hyperlink>
    </w:p>
    <w:p w:rsidR="00F249EF" w:rsidRDefault="00F249EF">
      <w:pPr>
        <w:pStyle w:val="TOC2"/>
        <w:tabs>
          <w:tab w:val="right" w:leader="dot" w:pos="8302"/>
        </w:tabs>
        <w:rPr>
          <w:rFonts w:cs="Times New Roman"/>
          <w:noProof/>
          <w:sz w:val="24"/>
          <w:rtl/>
          <w:lang w:eastAsia="en-US"/>
        </w:rPr>
      </w:pPr>
      <w:hyperlink w:anchor="_Toc151956821" w:history="1">
        <w:r w:rsidRPr="002855B6">
          <w:rPr>
            <w:rStyle w:val="Hyperlink"/>
            <w:noProof/>
            <w:rtl/>
          </w:rPr>
          <w:t>ו.5. דרישות נתונים ומשמעות הסירוב לספק נתונים</w:t>
        </w:r>
        <w:r>
          <w:rPr>
            <w:noProof/>
            <w:webHidden/>
            <w:rtl/>
          </w:rPr>
          <w:tab/>
        </w:r>
        <w:r>
          <w:rPr>
            <w:rStyle w:val="Hyperlink"/>
            <w:noProof/>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Toc151956821 \h</w:instrText>
        </w:r>
        <w:r>
          <w:rPr>
            <w:noProof/>
            <w:webHidden/>
            <w:rtl/>
          </w:rPr>
          <w:instrText xml:space="preserve"> </w:instrText>
        </w:r>
        <w:r w:rsidRPr="00F249EF">
          <w:rPr>
            <w:noProof/>
            <w:color w:val="0000FF"/>
            <w:u w:val="single"/>
          </w:rPr>
        </w:r>
        <w:r>
          <w:rPr>
            <w:rStyle w:val="Hyperlink"/>
            <w:noProof/>
            <w:rtl/>
          </w:rPr>
          <w:fldChar w:fldCharType="separate"/>
        </w:r>
        <w:r w:rsidR="00C55EBD">
          <w:rPr>
            <w:noProof/>
            <w:webHidden/>
            <w:rtl/>
          </w:rPr>
          <w:t>34</w:t>
        </w:r>
        <w:r>
          <w:rPr>
            <w:rStyle w:val="Hyperlink"/>
            <w:noProof/>
            <w:rtl/>
          </w:rPr>
          <w:fldChar w:fldCharType="end"/>
        </w:r>
      </w:hyperlink>
    </w:p>
    <w:p w:rsidR="00F249EF" w:rsidRDefault="00F249EF">
      <w:pPr>
        <w:pStyle w:val="TOC2"/>
        <w:tabs>
          <w:tab w:val="right" w:leader="dot" w:pos="8302"/>
        </w:tabs>
        <w:rPr>
          <w:rFonts w:cs="Times New Roman"/>
          <w:noProof/>
          <w:sz w:val="24"/>
          <w:rtl/>
          <w:lang w:eastAsia="en-US"/>
        </w:rPr>
      </w:pPr>
      <w:hyperlink w:anchor="_Toc151956822" w:history="1">
        <w:r w:rsidRPr="002855B6">
          <w:rPr>
            <w:rStyle w:val="Hyperlink"/>
            <w:noProof/>
            <w:rtl/>
          </w:rPr>
          <w:t>ו.6. משך הזמן לבדיקת מיזוגים</w:t>
        </w:r>
        <w:r>
          <w:rPr>
            <w:noProof/>
            <w:webHidden/>
            <w:rtl/>
          </w:rPr>
          <w:tab/>
        </w:r>
        <w:r>
          <w:rPr>
            <w:rStyle w:val="Hyperlink"/>
            <w:noProof/>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Toc151956822 \h</w:instrText>
        </w:r>
        <w:r>
          <w:rPr>
            <w:noProof/>
            <w:webHidden/>
            <w:rtl/>
          </w:rPr>
          <w:instrText xml:space="preserve"> </w:instrText>
        </w:r>
        <w:r w:rsidRPr="00F249EF">
          <w:rPr>
            <w:noProof/>
            <w:color w:val="0000FF"/>
            <w:u w:val="single"/>
          </w:rPr>
        </w:r>
        <w:r>
          <w:rPr>
            <w:rStyle w:val="Hyperlink"/>
            <w:noProof/>
            <w:rtl/>
          </w:rPr>
          <w:fldChar w:fldCharType="separate"/>
        </w:r>
        <w:r w:rsidR="00C55EBD">
          <w:rPr>
            <w:noProof/>
            <w:webHidden/>
            <w:rtl/>
          </w:rPr>
          <w:t>35</w:t>
        </w:r>
        <w:r>
          <w:rPr>
            <w:rStyle w:val="Hyperlink"/>
            <w:noProof/>
            <w:rtl/>
          </w:rPr>
          <w:fldChar w:fldCharType="end"/>
        </w:r>
      </w:hyperlink>
    </w:p>
    <w:p w:rsidR="00F249EF" w:rsidRDefault="00F249EF">
      <w:pPr>
        <w:pStyle w:val="TOC2"/>
        <w:tabs>
          <w:tab w:val="right" w:leader="dot" w:pos="8302"/>
        </w:tabs>
        <w:rPr>
          <w:rFonts w:cs="Times New Roman"/>
          <w:noProof/>
          <w:sz w:val="24"/>
          <w:rtl/>
          <w:lang w:eastAsia="en-US"/>
        </w:rPr>
      </w:pPr>
      <w:hyperlink w:anchor="_Toc151956823" w:history="1">
        <w:r w:rsidRPr="002855B6">
          <w:rPr>
            <w:rStyle w:val="Hyperlink"/>
            <w:noProof/>
            <w:rtl/>
          </w:rPr>
          <w:t>ו.7. החלטת הממונה: אישור המיזוג, התנגדות או אישור מותנה בתנאים</w:t>
        </w:r>
        <w:r>
          <w:rPr>
            <w:noProof/>
            <w:webHidden/>
            <w:rtl/>
          </w:rPr>
          <w:tab/>
        </w:r>
        <w:r>
          <w:rPr>
            <w:rStyle w:val="Hyperlink"/>
            <w:noProof/>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Toc151956823 \h</w:instrText>
        </w:r>
        <w:r>
          <w:rPr>
            <w:noProof/>
            <w:webHidden/>
            <w:rtl/>
          </w:rPr>
          <w:instrText xml:space="preserve"> </w:instrText>
        </w:r>
        <w:r w:rsidRPr="00F249EF">
          <w:rPr>
            <w:noProof/>
            <w:color w:val="0000FF"/>
            <w:u w:val="single"/>
          </w:rPr>
        </w:r>
        <w:r>
          <w:rPr>
            <w:rStyle w:val="Hyperlink"/>
            <w:noProof/>
            <w:rtl/>
          </w:rPr>
          <w:fldChar w:fldCharType="separate"/>
        </w:r>
        <w:r w:rsidR="00C55EBD">
          <w:rPr>
            <w:noProof/>
            <w:webHidden/>
            <w:rtl/>
          </w:rPr>
          <w:t>36</w:t>
        </w:r>
        <w:r>
          <w:rPr>
            <w:rStyle w:val="Hyperlink"/>
            <w:noProof/>
            <w:rtl/>
          </w:rPr>
          <w:fldChar w:fldCharType="end"/>
        </w:r>
      </w:hyperlink>
    </w:p>
    <w:p w:rsidR="008F76DA" w:rsidRPr="008F76DA" w:rsidRDefault="008F76DA" w:rsidP="001F2104">
      <w:pPr>
        <w:jc w:val="left"/>
        <w:rPr>
          <w:rFonts w:hint="cs"/>
          <w:rtl/>
        </w:rPr>
      </w:pPr>
      <w:r>
        <w:rPr>
          <w:rtl/>
        </w:rPr>
        <w:fldChar w:fldCharType="end"/>
      </w:r>
    </w:p>
    <w:p w:rsidR="007E35C6" w:rsidRDefault="007E35C6" w:rsidP="007270E3">
      <w:pPr>
        <w:pStyle w:val="Heading1"/>
        <w:spacing w:before="120" w:after="240" w:line="360" w:lineRule="auto"/>
        <w:ind w:left="34"/>
        <w:rPr>
          <w:rFonts w:ascii="Times New Roman" w:hAnsi="Times New Roman" w:cs="David" w:hint="cs"/>
          <w:kern w:val="0"/>
        </w:rPr>
      </w:pPr>
      <w:bookmarkStart w:id="1" w:name="_Toc151956797"/>
      <w:r>
        <w:rPr>
          <w:rFonts w:ascii="Times New Roman" w:hAnsi="Times New Roman" w:cs="David" w:hint="cs"/>
          <w:kern w:val="0"/>
          <w:rtl/>
        </w:rPr>
        <w:t>א. הקדמה</w:t>
      </w:r>
      <w:bookmarkEnd w:id="1"/>
      <w:r>
        <w:rPr>
          <w:rFonts w:ascii="Times New Roman" w:hAnsi="Times New Roman" w:cs="David" w:hint="cs"/>
          <w:kern w:val="0"/>
          <w:rtl/>
        </w:rPr>
        <w:t xml:space="preserve"> </w:t>
      </w:r>
    </w:p>
    <w:p w:rsidR="007E35C6" w:rsidRDefault="007E35C6" w:rsidP="007270E3">
      <w:pPr>
        <w:pStyle w:val="Heading2"/>
        <w:spacing w:before="120" w:after="240"/>
        <w:ind w:left="34"/>
        <w:rPr>
          <w:rFonts w:cs="David" w:hint="cs"/>
          <w:i w:val="0"/>
          <w:iCs w:val="0"/>
          <w:rtl/>
        </w:rPr>
      </w:pPr>
      <w:bookmarkStart w:id="2" w:name="_Toc151956798"/>
      <w:r>
        <w:rPr>
          <w:rFonts w:cs="David" w:hint="cs"/>
          <w:i w:val="0"/>
          <w:iCs w:val="0"/>
          <w:rtl/>
        </w:rPr>
        <w:t>א.1</w:t>
      </w:r>
      <w:r w:rsidR="00775FEE">
        <w:rPr>
          <w:rFonts w:cs="David" w:hint="cs"/>
          <w:i w:val="0"/>
          <w:iCs w:val="0"/>
          <w:rtl/>
        </w:rPr>
        <w:t>.</w:t>
      </w:r>
      <w:r>
        <w:rPr>
          <w:rFonts w:cs="David" w:hint="cs"/>
          <w:i w:val="0"/>
          <w:iCs w:val="0"/>
          <w:rtl/>
        </w:rPr>
        <w:t xml:space="preserve"> מבוא: מערך הפיקוח על מיזוגים</w:t>
      </w:r>
      <w:bookmarkEnd w:id="2"/>
      <w:r>
        <w:rPr>
          <w:rFonts w:cs="David" w:hint="cs"/>
          <w:i w:val="0"/>
          <w:iCs w:val="0"/>
          <w:rtl/>
        </w:rPr>
        <w:t xml:space="preserve"> </w:t>
      </w:r>
    </w:p>
    <w:p w:rsidR="007E35C6" w:rsidRDefault="007E35C6" w:rsidP="00B52561">
      <w:pPr>
        <w:pStyle w:val="BodyText"/>
        <w:spacing w:after="120"/>
        <w:ind w:left="34"/>
        <w:rPr>
          <w:rFonts w:hint="cs"/>
          <w:rtl/>
        </w:rPr>
      </w:pPr>
      <w:r>
        <w:rPr>
          <w:rFonts w:hint="cs"/>
          <w:rtl/>
        </w:rPr>
        <w:t>חוק ההגבלים העסקיים, מטפל ב</w:t>
      </w:r>
      <w:r w:rsidR="00544158">
        <w:rPr>
          <w:rFonts w:hint="cs"/>
          <w:rtl/>
        </w:rPr>
        <w:t>ארבעה</w:t>
      </w:r>
      <w:r>
        <w:rPr>
          <w:rFonts w:hint="cs"/>
          <w:rtl/>
        </w:rPr>
        <w:t xml:space="preserve"> סוגים של הגבלים עסקיים: הסדרים כובלים, מיזוגי חברות</w:t>
      </w:r>
      <w:r w:rsidR="00544158">
        <w:rPr>
          <w:rFonts w:hint="cs"/>
          <w:rtl/>
        </w:rPr>
        <w:t>,</w:t>
      </w:r>
      <w:r>
        <w:rPr>
          <w:rFonts w:hint="cs"/>
          <w:rtl/>
        </w:rPr>
        <w:t xml:space="preserve"> מונופולין</w:t>
      </w:r>
      <w:r w:rsidR="00544158">
        <w:rPr>
          <w:rFonts w:hint="cs"/>
          <w:rtl/>
        </w:rPr>
        <w:t xml:space="preserve"> וקבוצות ריכוז</w:t>
      </w:r>
      <w:r>
        <w:rPr>
          <w:rFonts w:hint="cs"/>
          <w:rtl/>
        </w:rPr>
        <w:t xml:space="preserve">. סוגי הגבלים אלה קשורים כולם בטבורם לתופעה הכלכלית העיקרית אשר למניעתה ולריסונה כונן החוק </w:t>
      </w:r>
      <w:r>
        <w:rPr>
          <w:rtl/>
        </w:rPr>
        <w:t>–</w:t>
      </w:r>
      <w:r>
        <w:rPr>
          <w:rFonts w:hint="cs"/>
          <w:rtl/>
        </w:rPr>
        <w:t xml:space="preserve"> תופעת כוח השוק.</w:t>
      </w:r>
    </w:p>
    <w:p w:rsidR="007E35C6" w:rsidRDefault="004D66A9" w:rsidP="007270E3">
      <w:pPr>
        <w:pStyle w:val="BodyText"/>
        <w:spacing w:after="240"/>
        <w:ind w:left="34"/>
        <w:rPr>
          <w:rFonts w:hint="cs"/>
          <w:rtl/>
        </w:rPr>
      </w:pPr>
      <w:r>
        <w:rPr>
          <w:noProof/>
          <w:sz w:val="20"/>
          <w:rtl/>
          <w:lang w:eastAsia="en-US"/>
        </w:rPr>
        <mc:AlternateContent>
          <mc:Choice Requires="wps">
            <w:drawing>
              <wp:anchor distT="0" distB="0" distL="114300" distR="114300" simplePos="0" relativeHeight="251657728" behindDoc="0" locked="0" layoutInCell="1" allowOverlap="1">
                <wp:simplePos x="0" y="0"/>
                <wp:positionH relativeFrom="column">
                  <wp:posOffset>0</wp:posOffset>
                </wp:positionH>
                <wp:positionV relativeFrom="paragraph">
                  <wp:posOffset>32385</wp:posOffset>
                </wp:positionV>
                <wp:extent cx="5257800" cy="1257300"/>
                <wp:effectExtent l="7620" t="9525" r="11430" b="9525"/>
                <wp:wrapNone/>
                <wp:docPr id="9"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1257300"/>
                        </a:xfrm>
                        <a:prstGeom prst="rect">
                          <a:avLst/>
                        </a:prstGeom>
                        <a:solidFill>
                          <a:srgbClr val="FFFFFF"/>
                        </a:solidFill>
                        <a:ln w="9525">
                          <a:solidFill>
                            <a:srgbClr val="000000"/>
                          </a:solidFill>
                          <a:miter lim="800000"/>
                          <a:headEnd/>
                          <a:tailEnd/>
                        </a:ln>
                      </wps:spPr>
                      <wps:txbx>
                        <w:txbxContent>
                          <w:p w:rsidR="00293CD3" w:rsidRDefault="00293CD3" w:rsidP="00316E19">
                            <w:pPr>
                              <w:rPr>
                                <w:rFonts w:hint="cs"/>
                                <w:b/>
                                <w:bCs/>
                                <w:color w:val="3366FF"/>
                                <w:rtl/>
                              </w:rPr>
                            </w:pPr>
                            <w:r w:rsidRPr="00764914">
                              <w:rPr>
                                <w:rFonts w:hint="cs"/>
                                <w:b/>
                                <w:bCs/>
                                <w:color w:val="3366FF"/>
                                <w:rtl/>
                              </w:rPr>
                              <w:t>כוח שוק</w:t>
                            </w:r>
                            <w:r>
                              <w:rPr>
                                <w:rFonts w:hint="cs"/>
                                <w:b/>
                                <w:bCs/>
                                <w:color w:val="3366FF"/>
                                <w:rtl/>
                              </w:rPr>
                              <w:t xml:space="preserve">, במובנו הכלכלי הצר, </w:t>
                            </w:r>
                            <w:r w:rsidRPr="00764914">
                              <w:rPr>
                                <w:rFonts w:hint="cs"/>
                                <w:b/>
                                <w:bCs/>
                                <w:color w:val="3366FF"/>
                                <w:rtl/>
                              </w:rPr>
                              <w:t xml:space="preserve">הוא היכולת של פירמה לגבות, בעד מוצר או שירות המסופקים על ידה, מחיר גבוה מזה שהיה נקבע בתנאי תחרות אפקטיבית. כוח השוק הנובע מהעדר תחרות </w:t>
                            </w:r>
                            <w:r>
                              <w:rPr>
                                <w:rFonts w:hint="cs"/>
                                <w:b/>
                                <w:bCs/>
                                <w:color w:val="3366FF"/>
                                <w:rtl/>
                              </w:rPr>
                              <w:t xml:space="preserve">בת-קיימא, </w:t>
                            </w:r>
                            <w:r w:rsidRPr="00764914">
                              <w:rPr>
                                <w:rFonts w:hint="cs"/>
                                <w:b/>
                                <w:bCs/>
                                <w:color w:val="3366FF"/>
                                <w:rtl/>
                              </w:rPr>
                              <w:t xml:space="preserve">בא לידי ביטוי בדרך כלל בצמצום התפוקה במטרה לגרום להעלאת </w:t>
                            </w:r>
                            <w:r>
                              <w:rPr>
                                <w:rFonts w:hint="cs"/>
                                <w:b/>
                                <w:bCs/>
                                <w:color w:val="3366FF"/>
                                <w:rtl/>
                              </w:rPr>
                              <w:t>ה</w:t>
                            </w:r>
                            <w:r w:rsidRPr="00764914">
                              <w:rPr>
                                <w:rFonts w:hint="cs"/>
                                <w:b/>
                                <w:bCs/>
                                <w:color w:val="3366FF"/>
                                <w:rtl/>
                              </w:rPr>
                              <w:t>מחיר לצרכן</w:t>
                            </w:r>
                            <w:r>
                              <w:rPr>
                                <w:rFonts w:hint="cs"/>
                                <w:b/>
                                <w:bCs/>
                                <w:color w:val="3366FF"/>
                                <w:rtl/>
                              </w:rPr>
                              <w:t>, או בפגיעה באיכות המוצר</w:t>
                            </w:r>
                            <w:r w:rsidRPr="00764914">
                              <w:rPr>
                                <w:rFonts w:hint="cs"/>
                                <w:b/>
                                <w:bCs/>
                                <w:color w:val="3366FF"/>
                                <w:rtl/>
                              </w:rPr>
                              <w:t>.  מטרת דיני ההגבלים העסקיים היא למנוע היווצרות כוח שוק או חיזוקו, שלא במסגרת תחרות על לב הצרכן</w:t>
                            </w:r>
                            <w:r>
                              <w:rPr>
                                <w:rFonts w:hint="cs"/>
                                <w:b/>
                                <w:bCs/>
                                <w:color w:val="3366FF"/>
                                <w:rt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 o:spid="_x0000_s1027" type="#_x0000_t202" style="position:absolute;left:0;text-align:left;margin-left:0;margin-top:2.55pt;width:414pt;height:9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w1TKgIAAFkEAAAOAAAAZHJzL2Uyb0RvYy54bWysVNtu2zAMfR+wfxD0vtjOkl6MOEWXLsOA&#10;7gK0+wBZlm1hkqhJSuzs60fJaZrdXob5QSBF6pA8JL26GbUie+G8BFPRYpZTIgyHRpquol8et6+u&#10;KPGBmYYpMKKiB+Hpzfrli9VgSzGHHlQjHEEQ48vBVrQPwZZZ5nkvNPMzsMKgsQWnWUDVdVnj2IDo&#10;WmXzPL/IBnCNdcCF93h7NxnpOuG3reDhU9t6EYiqKOYW0unSWcczW69Y2Tlme8mPabB/yEIzaTDo&#10;CeqOBUZ2Tv4GpSV34KENMw46g7aVXKQasJoi/6Wah55ZkWpBcrw90eT/Hyz/uP/siGwqek2JYRpb&#10;9CjGQN7ASIrLSM9gfYleDxb9woj32OZUqrf3wL96YmDTM9OJW+dg6AVrML0ivszOnk44PoLUwwdo&#10;MA7bBUhAY+t05A7ZIIiObTqcWhNz4Xi5nC8vr3I0cbQVqLxGJcZg5dNz63x4J0CTKFTUYe8TPNvf&#10;+zC5PrnEaB6UbLZSqaS4rt4oR/YM52SbviP6T27KkAGZwmQmBv4KkafvTxBaBhx4JXVFsR78ohMr&#10;I29vTZPkwKSaZKxOmSORkbuJxTDWY2rZRXwbSa6hOSCzDqb5xn1EoQf3nZIBZ7ui/tuOOUGJem+w&#10;O9fFYhGXISmL5eUcFXduqc8tzHCEqmigZBI3YVqgnXWy6zHSNA8GbrGjrUxcP2d1TB/nN3XruGtx&#10;Qc715PX8R1j/AAAA//8DAFBLAwQUAAYACAAAACEA2/SR/NwAAAAGAQAADwAAAGRycy9kb3ducmV2&#10;LnhtbEyPwU7DMBBE70j8g7VIXBB1kkIJIZsKIYHgBgXB1Y3dJMJeB9tNw9+znOA4mtHMm3o9Oysm&#10;E+LgCSFfZCAMtV4P1CG8vd6flyBiUqSV9WQQvk2EdXN8VKtK+wO9mGmTOsElFCuF0Kc0VlLGtjdO&#10;xYUfDbG388GpxDJ0Ugd14HJnZZFlK+nUQLzQq9Hc9ab93OwdQnnxOH3Ep+Xze7va2et0djU9fAXE&#10;05P59gZEMnP6C8MvPqNDw0xbvycdhUXgIwnhMgfBZlmUrLcIRbbMQTa1/I/f/AAAAP//AwBQSwEC&#10;LQAUAAYACAAAACEAtoM4kv4AAADhAQAAEwAAAAAAAAAAAAAAAAAAAAAAW0NvbnRlbnRfVHlwZXNd&#10;LnhtbFBLAQItABQABgAIAAAAIQA4/SH/1gAAAJQBAAALAAAAAAAAAAAAAAAAAC8BAABfcmVscy8u&#10;cmVsc1BLAQItABQABgAIAAAAIQDwLw1TKgIAAFkEAAAOAAAAAAAAAAAAAAAAAC4CAABkcnMvZTJv&#10;RG9jLnhtbFBLAQItABQABgAIAAAAIQDb9JH83AAAAAYBAAAPAAAAAAAAAAAAAAAAAIQEAABkcnMv&#10;ZG93bnJldi54bWxQSwUGAAAAAAQABADzAAAAjQUAAAAA&#10;">
                <v:textbox>
                  <w:txbxContent>
                    <w:p w:rsidR="00293CD3" w:rsidRDefault="00293CD3" w:rsidP="00316E19">
                      <w:pPr>
                        <w:rPr>
                          <w:rFonts w:hint="cs"/>
                          <w:b/>
                          <w:bCs/>
                          <w:color w:val="3366FF"/>
                          <w:rtl/>
                        </w:rPr>
                      </w:pPr>
                      <w:r w:rsidRPr="00764914">
                        <w:rPr>
                          <w:rFonts w:hint="cs"/>
                          <w:b/>
                          <w:bCs/>
                          <w:color w:val="3366FF"/>
                          <w:rtl/>
                        </w:rPr>
                        <w:t>כוח שוק</w:t>
                      </w:r>
                      <w:r>
                        <w:rPr>
                          <w:rFonts w:hint="cs"/>
                          <w:b/>
                          <w:bCs/>
                          <w:color w:val="3366FF"/>
                          <w:rtl/>
                        </w:rPr>
                        <w:t xml:space="preserve">, במובנו הכלכלי הצר, </w:t>
                      </w:r>
                      <w:r w:rsidRPr="00764914">
                        <w:rPr>
                          <w:rFonts w:hint="cs"/>
                          <w:b/>
                          <w:bCs/>
                          <w:color w:val="3366FF"/>
                          <w:rtl/>
                        </w:rPr>
                        <w:t xml:space="preserve">הוא היכולת של פירמה לגבות, בעד מוצר או שירות המסופקים על ידה, מחיר גבוה מזה שהיה נקבע בתנאי תחרות אפקטיבית. כוח השוק הנובע מהעדר תחרות </w:t>
                      </w:r>
                      <w:r>
                        <w:rPr>
                          <w:rFonts w:hint="cs"/>
                          <w:b/>
                          <w:bCs/>
                          <w:color w:val="3366FF"/>
                          <w:rtl/>
                        </w:rPr>
                        <w:t xml:space="preserve">בת-קיימא, </w:t>
                      </w:r>
                      <w:r w:rsidRPr="00764914">
                        <w:rPr>
                          <w:rFonts w:hint="cs"/>
                          <w:b/>
                          <w:bCs/>
                          <w:color w:val="3366FF"/>
                          <w:rtl/>
                        </w:rPr>
                        <w:t xml:space="preserve">בא לידי ביטוי בדרך כלל בצמצום התפוקה במטרה לגרום להעלאת </w:t>
                      </w:r>
                      <w:r>
                        <w:rPr>
                          <w:rFonts w:hint="cs"/>
                          <w:b/>
                          <w:bCs/>
                          <w:color w:val="3366FF"/>
                          <w:rtl/>
                        </w:rPr>
                        <w:t>ה</w:t>
                      </w:r>
                      <w:r w:rsidRPr="00764914">
                        <w:rPr>
                          <w:rFonts w:hint="cs"/>
                          <w:b/>
                          <w:bCs/>
                          <w:color w:val="3366FF"/>
                          <w:rtl/>
                        </w:rPr>
                        <w:t>מחיר לצרכן</w:t>
                      </w:r>
                      <w:r>
                        <w:rPr>
                          <w:rFonts w:hint="cs"/>
                          <w:b/>
                          <w:bCs/>
                          <w:color w:val="3366FF"/>
                          <w:rtl/>
                        </w:rPr>
                        <w:t>, או בפגיעה באיכות המוצר</w:t>
                      </w:r>
                      <w:r w:rsidRPr="00764914">
                        <w:rPr>
                          <w:rFonts w:hint="cs"/>
                          <w:b/>
                          <w:bCs/>
                          <w:color w:val="3366FF"/>
                          <w:rtl/>
                        </w:rPr>
                        <w:t>.  מטרת דיני ההגבלים העסקיים היא למנוע היווצרות כוח שוק או חיזוקו, שלא במסגרת תחרות על לב הצרכן</w:t>
                      </w:r>
                      <w:r>
                        <w:rPr>
                          <w:rFonts w:hint="cs"/>
                          <w:b/>
                          <w:bCs/>
                          <w:color w:val="3366FF"/>
                          <w:rtl/>
                        </w:rPr>
                        <w:t xml:space="preserve">.      </w:t>
                      </w:r>
                    </w:p>
                  </w:txbxContent>
                </v:textbox>
              </v:shape>
            </w:pict>
          </mc:Fallback>
        </mc:AlternateContent>
      </w:r>
    </w:p>
    <w:p w:rsidR="007E35C6" w:rsidRDefault="007E35C6" w:rsidP="007270E3">
      <w:pPr>
        <w:pStyle w:val="BodyText"/>
        <w:spacing w:after="240"/>
        <w:ind w:left="34"/>
        <w:rPr>
          <w:rFonts w:hint="cs"/>
          <w:rtl/>
        </w:rPr>
      </w:pPr>
    </w:p>
    <w:p w:rsidR="007E35C6" w:rsidRDefault="007E35C6" w:rsidP="007270E3">
      <w:pPr>
        <w:pStyle w:val="BodyText"/>
        <w:spacing w:after="240"/>
        <w:ind w:left="34"/>
        <w:rPr>
          <w:rFonts w:hint="cs"/>
          <w:rtl/>
        </w:rPr>
      </w:pPr>
    </w:p>
    <w:p w:rsidR="001472F3" w:rsidRDefault="001472F3" w:rsidP="007270E3">
      <w:pPr>
        <w:pStyle w:val="BodyText"/>
        <w:spacing w:after="240"/>
        <w:ind w:left="34"/>
        <w:rPr>
          <w:rFonts w:hint="cs"/>
          <w:rtl/>
        </w:rPr>
      </w:pPr>
    </w:p>
    <w:p w:rsidR="007E35C6" w:rsidRDefault="007E35C6" w:rsidP="00B52561">
      <w:pPr>
        <w:pStyle w:val="BodyText"/>
        <w:spacing w:after="240"/>
        <w:rPr>
          <w:rFonts w:hint="cs"/>
          <w:rtl/>
        </w:rPr>
      </w:pPr>
      <w:r>
        <w:rPr>
          <w:rFonts w:hint="cs"/>
          <w:rtl/>
        </w:rPr>
        <w:t xml:space="preserve">יצירתו (וחיזוקו) של כוח שוק, נעשית בשלוש דרכים עיקריות שהן מעניינו של חוק ההגבלים העסקיים: </w:t>
      </w:r>
      <w:r w:rsidR="00AC5E02">
        <w:rPr>
          <w:rFonts w:hint="cs"/>
          <w:rtl/>
        </w:rPr>
        <w:t xml:space="preserve">הגבלת פעילותם </w:t>
      </w:r>
      <w:r>
        <w:rPr>
          <w:rFonts w:hint="cs"/>
          <w:rtl/>
        </w:rPr>
        <w:t xml:space="preserve">של מתחרים על ידי גורם דומיננטי </w:t>
      </w:r>
      <w:r w:rsidR="00316E19">
        <w:rPr>
          <w:rtl/>
        </w:rPr>
        <w:t>–</w:t>
      </w:r>
      <w:r w:rsidR="00316E19">
        <w:rPr>
          <w:rFonts w:hint="cs"/>
          <w:rtl/>
        </w:rPr>
        <w:t xml:space="preserve"> המכונה בחוק </w:t>
      </w:r>
      <w:r>
        <w:rPr>
          <w:rFonts w:hint="cs"/>
          <w:rtl/>
        </w:rPr>
        <w:t xml:space="preserve">"ניצול מעמד מונופוליסטי"; תיאום ההתנהגות המסחרית </w:t>
      </w:r>
      <w:r w:rsidR="00076383">
        <w:rPr>
          <w:rFonts w:hint="cs"/>
          <w:rtl/>
        </w:rPr>
        <w:t>של</w:t>
      </w:r>
      <w:r>
        <w:rPr>
          <w:rFonts w:hint="cs"/>
          <w:rtl/>
        </w:rPr>
        <w:t xml:space="preserve"> עסקים נפרדים ועצמאיים </w:t>
      </w:r>
      <w:r>
        <w:rPr>
          <w:rtl/>
        </w:rPr>
        <w:t>–</w:t>
      </w:r>
      <w:r>
        <w:rPr>
          <w:rFonts w:hint="cs"/>
          <w:rtl/>
        </w:rPr>
        <w:t xml:space="preserve"> המכונה בחוק "הסדר כובל"; ואיחוד מבני בין עסקים כאמור </w:t>
      </w:r>
      <w:r>
        <w:rPr>
          <w:rtl/>
        </w:rPr>
        <w:t>–</w:t>
      </w:r>
      <w:r>
        <w:rPr>
          <w:rFonts w:hint="cs"/>
          <w:rtl/>
        </w:rPr>
        <w:t xml:space="preserve"> המכונה בחוק "מיזוג חברות", ומגיע לעתים כדי "בליעתו" של עסק אחד על יד האחר (רכישת שליטה מלאה).  עניינן של הנחיות אלה הוא באחרונה מבין שלוש הדרכים האמורות.</w:t>
      </w:r>
    </w:p>
    <w:p w:rsidR="007E35C6" w:rsidRDefault="007E35C6" w:rsidP="00544158">
      <w:pPr>
        <w:spacing w:after="240"/>
        <w:ind w:left="34"/>
        <w:rPr>
          <w:rFonts w:hint="cs"/>
          <w:rtl/>
        </w:rPr>
      </w:pPr>
      <w:r>
        <w:rPr>
          <w:rFonts w:hint="cs"/>
          <w:b/>
          <w:bCs/>
          <w:rtl/>
        </w:rPr>
        <w:t>הרציונל ביסוד הפיקוח על מיזוגים</w:t>
      </w:r>
      <w:r>
        <w:rPr>
          <w:rFonts w:hint="cs"/>
          <w:rtl/>
        </w:rPr>
        <w:t xml:space="preserve"> הוא מניעת חיבור מבני בין עסקים</w:t>
      </w:r>
      <w:r w:rsidR="00AC5E02">
        <w:rPr>
          <w:rFonts w:hint="cs"/>
          <w:rtl/>
        </w:rPr>
        <w:t>,</w:t>
      </w:r>
      <w:r>
        <w:rPr>
          <w:rFonts w:hint="cs"/>
          <w:rtl/>
        </w:rPr>
        <w:t xml:space="preserve"> אם קיי</w:t>
      </w:r>
      <w:r w:rsidR="00544158">
        <w:rPr>
          <w:rFonts w:hint="cs"/>
          <w:rtl/>
        </w:rPr>
        <w:t>ם חשש</w:t>
      </w:r>
      <w:r>
        <w:rPr>
          <w:rFonts w:hint="cs"/>
          <w:rtl/>
        </w:rPr>
        <w:t xml:space="preserve"> </w:t>
      </w:r>
      <w:r w:rsidR="00544158">
        <w:rPr>
          <w:rFonts w:hint="cs"/>
          <w:rtl/>
        </w:rPr>
        <w:t>סביר</w:t>
      </w:r>
      <w:r>
        <w:rPr>
          <w:rFonts w:hint="cs"/>
          <w:rtl/>
        </w:rPr>
        <w:t xml:space="preserve"> שתוצאתו של חיבור זה בשוק בו פועלים אותם העסקים </w:t>
      </w:r>
      <w:r>
        <w:rPr>
          <w:rtl/>
        </w:rPr>
        <w:t>–</w:t>
      </w:r>
      <w:r>
        <w:rPr>
          <w:rFonts w:hint="cs"/>
          <w:rtl/>
        </w:rPr>
        <w:t xml:space="preserve"> תהיה יצירת כוח שוק (או חיזוקו), על תוצאות הלוואי שלו: הפחתת תפוקה, העלאת מחירים, פגיעה </w:t>
      </w:r>
      <w:r w:rsidR="00AC5E02">
        <w:rPr>
          <w:rFonts w:hint="cs"/>
          <w:rtl/>
        </w:rPr>
        <w:t xml:space="preserve">באיכות, </w:t>
      </w:r>
      <w:r>
        <w:rPr>
          <w:rFonts w:hint="cs"/>
          <w:rtl/>
        </w:rPr>
        <w:t xml:space="preserve">במגוון </w:t>
      </w:r>
      <w:r w:rsidR="00AC5E02">
        <w:rPr>
          <w:rFonts w:hint="cs"/>
          <w:rtl/>
        </w:rPr>
        <w:t>א</w:t>
      </w:r>
      <w:r>
        <w:rPr>
          <w:rFonts w:hint="cs"/>
          <w:rtl/>
        </w:rPr>
        <w:t>ו</w:t>
      </w:r>
      <w:r w:rsidR="00AC5E02">
        <w:rPr>
          <w:rFonts w:hint="cs"/>
          <w:rtl/>
        </w:rPr>
        <w:t xml:space="preserve"> </w:t>
      </w:r>
      <w:r>
        <w:rPr>
          <w:rFonts w:hint="cs"/>
          <w:rtl/>
        </w:rPr>
        <w:t>בשירות</w:t>
      </w:r>
      <w:r w:rsidR="00212A19">
        <w:rPr>
          <w:rFonts w:hint="cs"/>
          <w:rtl/>
        </w:rPr>
        <w:t xml:space="preserve">. </w:t>
      </w:r>
      <w:r>
        <w:rPr>
          <w:rFonts w:hint="cs"/>
          <w:rtl/>
        </w:rPr>
        <w:t xml:space="preserve">  </w:t>
      </w:r>
    </w:p>
    <w:p w:rsidR="007E35C6" w:rsidRDefault="007E35C6" w:rsidP="007270E3">
      <w:pPr>
        <w:spacing w:after="240"/>
        <w:ind w:left="34"/>
        <w:rPr>
          <w:rFonts w:hint="cs"/>
          <w:rtl/>
        </w:rPr>
      </w:pPr>
      <w:r>
        <w:rPr>
          <w:rFonts w:hint="cs"/>
          <w:b/>
          <w:bCs/>
          <w:rtl/>
        </w:rPr>
        <w:t>ההנחה ביסוד מערך הפיקוח על המיזוגים</w:t>
      </w:r>
      <w:r>
        <w:rPr>
          <w:rFonts w:hint="cs"/>
          <w:rtl/>
        </w:rPr>
        <w:t xml:space="preserve"> היא</w:t>
      </w:r>
      <w:r w:rsidR="00CB1CE6">
        <w:rPr>
          <w:rFonts w:hint="cs"/>
          <w:rtl/>
        </w:rPr>
        <w:t>,</w:t>
      </w:r>
      <w:r>
        <w:rPr>
          <w:rFonts w:hint="cs"/>
          <w:rtl/>
        </w:rPr>
        <w:t xml:space="preserve"> </w:t>
      </w:r>
      <w:r w:rsidR="00212A19">
        <w:rPr>
          <w:rFonts w:hint="cs"/>
          <w:rtl/>
        </w:rPr>
        <w:t>שהשינוי המבני אותו יוצר המיזוג עלול לשבש את המכניזם התחרותי</w:t>
      </w:r>
      <w:r w:rsidR="00A3473D">
        <w:rPr>
          <w:rFonts w:hint="cs"/>
          <w:rtl/>
        </w:rPr>
        <w:t xml:space="preserve"> ולאפשר יצירה</w:t>
      </w:r>
      <w:r w:rsidR="00544158">
        <w:rPr>
          <w:rFonts w:hint="cs"/>
          <w:rtl/>
        </w:rPr>
        <w:t>,</w:t>
      </w:r>
      <w:r w:rsidR="00A3473D">
        <w:rPr>
          <w:rFonts w:hint="cs"/>
          <w:rtl/>
        </w:rPr>
        <w:t xml:space="preserve"> חיזוק </w:t>
      </w:r>
      <w:r w:rsidR="00544158">
        <w:rPr>
          <w:rFonts w:hint="cs"/>
          <w:rtl/>
        </w:rPr>
        <w:t xml:space="preserve">או שימור </w:t>
      </w:r>
      <w:r w:rsidR="00A3473D">
        <w:rPr>
          <w:rFonts w:hint="cs"/>
          <w:rtl/>
        </w:rPr>
        <w:t xml:space="preserve">של כוח שוק. </w:t>
      </w:r>
      <w:r w:rsidR="00212A19">
        <w:rPr>
          <w:rFonts w:hint="cs"/>
          <w:rtl/>
        </w:rPr>
        <w:t xml:space="preserve"> </w:t>
      </w:r>
      <w:r w:rsidR="00EA3674">
        <w:rPr>
          <w:rFonts w:hint="cs"/>
          <w:rtl/>
        </w:rPr>
        <w:t xml:space="preserve">בין היתר, </w:t>
      </w:r>
      <w:r w:rsidR="00A40CED">
        <w:rPr>
          <w:rFonts w:hint="cs"/>
          <w:rtl/>
        </w:rPr>
        <w:t xml:space="preserve">שיבוש כזה </w:t>
      </w:r>
      <w:r w:rsidR="00A3473D">
        <w:rPr>
          <w:rFonts w:hint="cs"/>
          <w:rtl/>
        </w:rPr>
        <w:t>יכול ל</w:t>
      </w:r>
      <w:r w:rsidR="00A40CED">
        <w:rPr>
          <w:rFonts w:hint="cs"/>
          <w:rtl/>
        </w:rPr>
        <w:t xml:space="preserve">נבוע מרכישת מעמד של שליטה בשוק בידי הפירמה הממוזגת שיאפשר לה להפעיל כוח שוק באופן חד צדדי  </w:t>
      </w:r>
      <w:r w:rsidR="00A3473D">
        <w:t>(Unilateral effects)</w:t>
      </w:r>
      <w:r w:rsidR="00A40CED">
        <w:rPr>
          <w:rFonts w:hint="cs"/>
          <w:rtl/>
        </w:rPr>
        <w:t xml:space="preserve"> </w:t>
      </w:r>
      <w:r w:rsidR="00A3473D">
        <w:rPr>
          <w:rFonts w:hint="cs"/>
          <w:rtl/>
        </w:rPr>
        <w:t xml:space="preserve">או </w:t>
      </w:r>
      <w:r w:rsidR="00A40CED">
        <w:rPr>
          <w:rFonts w:hint="cs"/>
          <w:rtl/>
        </w:rPr>
        <w:t xml:space="preserve">ממצב שבו </w:t>
      </w:r>
      <w:r w:rsidR="00212A19">
        <w:rPr>
          <w:rFonts w:hint="cs"/>
          <w:rtl/>
        </w:rPr>
        <w:t xml:space="preserve">התמעטות העסקים המתחרים בשוק תאפשר הפעלת כוח שוק </w:t>
      </w:r>
      <w:r w:rsidR="00A3473D">
        <w:rPr>
          <w:rFonts w:hint="cs"/>
          <w:rtl/>
        </w:rPr>
        <w:t xml:space="preserve">במשותף על ידם </w:t>
      </w:r>
      <w:r w:rsidR="00A3473D">
        <w:t>(Coordinated effects)</w:t>
      </w:r>
      <w:r w:rsidR="00A3473D">
        <w:rPr>
          <w:rFonts w:hint="cs"/>
          <w:rtl/>
        </w:rPr>
        <w:t xml:space="preserve">. </w:t>
      </w:r>
      <w:r w:rsidR="00A40CED">
        <w:rPr>
          <w:rFonts w:hint="cs"/>
          <w:rtl/>
        </w:rPr>
        <w:t>לעיתים ינבע השיבוש במכניזם התחרותי מחסימה א</w:t>
      </w:r>
      <w:r w:rsidR="00A3473D">
        <w:rPr>
          <w:rFonts w:hint="cs"/>
          <w:rtl/>
        </w:rPr>
        <w:t xml:space="preserve">פשרית של תשומה חיונית או ערוץ שיווק חיוני בפני מתחרים </w:t>
      </w:r>
      <w:r w:rsidR="00A3473D">
        <w:t>(Market Foreclosure)</w:t>
      </w:r>
      <w:r w:rsidR="00A3473D">
        <w:rPr>
          <w:rFonts w:hint="cs"/>
          <w:rtl/>
        </w:rPr>
        <w:t>.</w:t>
      </w:r>
      <w:r w:rsidR="00A3473D">
        <w:rPr>
          <w:rStyle w:val="FootnoteReference"/>
          <w:rtl/>
        </w:rPr>
        <w:footnoteReference w:id="3"/>
      </w:r>
      <w:r w:rsidR="00EA3674">
        <w:rPr>
          <w:rFonts w:hint="cs"/>
          <w:rtl/>
        </w:rPr>
        <w:t xml:space="preserve"> </w:t>
      </w:r>
      <w:r>
        <w:rPr>
          <w:rFonts w:hint="cs"/>
          <w:rtl/>
        </w:rPr>
        <w:t xml:space="preserve">הפיקוח על המיזוגים עניינו אפוא בחיבור מבני בין עסקים: בעליו של עסק אחד הופך להיות בעל אינטרס בעסק אחר. </w:t>
      </w:r>
      <w:r w:rsidR="003C5AED">
        <w:rPr>
          <w:rFonts w:hint="cs"/>
          <w:rtl/>
        </w:rPr>
        <w:t>היקפו ועוצמתו של אינטרס זה, עשויים להיות שונים ממקרה למקרה</w:t>
      </w:r>
      <w:r w:rsidR="00A3473D">
        <w:rPr>
          <w:rFonts w:hint="cs"/>
          <w:rtl/>
        </w:rPr>
        <w:t xml:space="preserve">. </w:t>
      </w:r>
      <w:r>
        <w:rPr>
          <w:rFonts w:hint="cs"/>
          <w:rtl/>
        </w:rPr>
        <w:t>החזקה שבניסיון החיים המונחת ביסוד הדברים היא, כי זיקת גומלין בין שני עסקים עשויה להשפיע על דרך התנהלותם ושינוי זה עלול להיות כרוך בהפחתה או מניעה של התחרות ביניהם</w:t>
      </w:r>
      <w:r w:rsidR="00A3473D">
        <w:rPr>
          <w:rFonts w:hint="cs"/>
          <w:rtl/>
        </w:rPr>
        <w:t xml:space="preserve"> או בהפחתת התחרות </w:t>
      </w:r>
      <w:r w:rsidR="00AA3C8A">
        <w:rPr>
          <w:rFonts w:hint="cs"/>
          <w:rtl/>
        </w:rPr>
        <w:t>בינם לבין צדדים שלישיים</w:t>
      </w:r>
      <w:r>
        <w:rPr>
          <w:rFonts w:hint="cs"/>
          <w:rtl/>
        </w:rPr>
        <w:t>.</w:t>
      </w:r>
      <w:r w:rsidR="003C5AED">
        <w:rPr>
          <w:rFonts w:hint="cs"/>
          <w:rtl/>
        </w:rPr>
        <w:t xml:space="preserve"> חזקה זו זכתה לעיגון הן בפסיקה, הן בספרות המשפטית והן בספרות הכלכלית.</w:t>
      </w:r>
      <w:r>
        <w:rPr>
          <w:rFonts w:hint="cs"/>
          <w:rtl/>
        </w:rPr>
        <w:t xml:space="preserve"> </w:t>
      </w:r>
      <w:r w:rsidR="00AA3C8A">
        <w:rPr>
          <w:rFonts w:hint="cs"/>
          <w:rtl/>
        </w:rPr>
        <w:t xml:space="preserve">תכלית הפיקוח היא לוודא שאותה זיקה מבנית הנוצרת בין החברות המתמזגות, לא תסכן את התחרות בשוק בכללותו. </w:t>
      </w:r>
    </w:p>
    <w:p w:rsidR="007E35C6" w:rsidRDefault="007E35C6" w:rsidP="007270E3">
      <w:pPr>
        <w:spacing w:after="240"/>
        <w:ind w:left="34"/>
        <w:rPr>
          <w:rFonts w:hint="cs"/>
          <w:rtl/>
        </w:rPr>
      </w:pPr>
      <w:r>
        <w:rPr>
          <w:rFonts w:hint="cs"/>
          <w:b/>
          <w:bCs/>
          <w:rtl/>
        </w:rPr>
        <w:t>מיזוג חברות מתבטא במהותו באיחוד, מלא או חלקי</w:t>
      </w:r>
      <w:r>
        <w:rPr>
          <w:rFonts w:hint="cs"/>
          <w:rtl/>
        </w:rPr>
        <w:t xml:space="preserve">. מהותו ותוצאתו של איחוד זה </w:t>
      </w:r>
      <w:r>
        <w:rPr>
          <w:rtl/>
        </w:rPr>
        <w:t>–</w:t>
      </w:r>
      <w:r>
        <w:rPr>
          <w:rFonts w:hint="cs"/>
          <w:rtl/>
        </w:rPr>
        <w:t xml:space="preserve"> ביצירת זיקה מבנית של עסק אחד במשנהו.  במונח "זיקה מבנית" כוונתנו בראש ובראשונה היא להקני</w:t>
      </w:r>
      <w:r w:rsidR="00B123F1">
        <w:rPr>
          <w:rFonts w:hint="cs"/>
          <w:rtl/>
        </w:rPr>
        <w:t>ה או לחיזוק של אחיזה</w:t>
      </w:r>
      <w:r>
        <w:rPr>
          <w:rFonts w:hint="cs"/>
          <w:rtl/>
        </w:rPr>
        <w:t xml:space="preserve">, דריסת רגל, לעסק הרוכש במנגנוני קבלת ההחלטות בעסק אחר, שהיה נפרד ועצמאי ממנו עובר לרכישה. בשונה מזיקה התנהגותית בין שני עסקים, בדמות תיאום מוסכם בין שני עסקים נפרדים ועצמאים של אופן התנהגותם </w:t>
      </w:r>
      <w:r>
        <w:rPr>
          <w:rtl/>
        </w:rPr>
        <w:t>–</w:t>
      </w:r>
      <w:r>
        <w:rPr>
          <w:rFonts w:hint="cs"/>
          <w:rtl/>
        </w:rPr>
        <w:t xml:space="preserve"> תיאום שהוא נשוא פרק ההסדרים הכובלים שבחוק</w:t>
      </w:r>
      <w:r>
        <w:rPr>
          <w:rStyle w:val="FootnoteReference"/>
          <w:rtl/>
        </w:rPr>
        <w:footnoteReference w:id="4"/>
      </w:r>
      <w:r>
        <w:rPr>
          <w:rFonts w:hint="cs"/>
          <w:rtl/>
        </w:rPr>
        <w:t xml:space="preserve"> </w:t>
      </w:r>
      <w:r>
        <w:rPr>
          <w:rtl/>
        </w:rPr>
        <w:t>–</w:t>
      </w:r>
      <w:r>
        <w:rPr>
          <w:rFonts w:hint="cs"/>
          <w:rtl/>
        </w:rPr>
        <w:t xml:space="preserve"> מתייחדת הזיקה המבנית בכך שהיא מקנה לבעליה, </w:t>
      </w:r>
      <w:r w:rsidR="00B123F1">
        <w:rPr>
          <w:rFonts w:hint="cs"/>
          <w:rtl/>
        </w:rPr>
        <w:t>עם הינתנה</w:t>
      </w:r>
      <w:r>
        <w:rPr>
          <w:rFonts w:hint="cs"/>
          <w:rtl/>
        </w:rPr>
        <w:t>, סוג של יכולת להשתתף בקבלת ההחלטות הפנימית של העסק האחר או השפעה על הליך זה.</w:t>
      </w:r>
      <w:r>
        <w:rPr>
          <w:rStyle w:val="FootnoteReference"/>
        </w:rPr>
        <w:footnoteReference w:id="5"/>
      </w:r>
      <w:r>
        <w:rPr>
          <w:rFonts w:hint="cs"/>
          <w:rtl/>
        </w:rPr>
        <w:t xml:space="preserve">  </w:t>
      </w:r>
    </w:p>
    <w:p w:rsidR="007E35C6" w:rsidRDefault="007E35C6" w:rsidP="00A10BBA">
      <w:pPr>
        <w:spacing w:after="240"/>
        <w:ind w:left="34"/>
        <w:rPr>
          <w:rFonts w:hint="cs"/>
          <w:rtl/>
        </w:rPr>
      </w:pPr>
      <w:r>
        <w:rPr>
          <w:rFonts w:hint="cs"/>
          <w:rtl/>
        </w:rPr>
        <w:t xml:space="preserve">ניסיון החיים מלמד כי מרבית המיזוגים אינם מסכנים באופן מהותי את התחרות האפקטיבית וכי מטרתם הבסיסית היא </w:t>
      </w:r>
      <w:r w:rsidR="001F2104">
        <w:rPr>
          <w:rFonts w:hint="cs"/>
          <w:rtl/>
        </w:rPr>
        <w:t xml:space="preserve">השגת </w:t>
      </w:r>
      <w:r>
        <w:rPr>
          <w:rFonts w:hint="cs"/>
          <w:rtl/>
        </w:rPr>
        <w:t xml:space="preserve">יתרונות לגודל ולמגוון.  עם זאת, יש שמיזוגים משנים את מבנה הענף באופן שיש בו להקים הסתברות </w:t>
      </w:r>
      <w:r w:rsidR="00AF1933">
        <w:rPr>
          <w:rFonts w:hint="cs"/>
          <w:rtl/>
        </w:rPr>
        <w:t xml:space="preserve">ממשית </w:t>
      </w:r>
      <w:r>
        <w:rPr>
          <w:rFonts w:hint="cs"/>
          <w:rtl/>
        </w:rPr>
        <w:t>ליצירתו או לחיזוקו של כוח שוק. מטרת הפיקוח על מיזוגים היא לזהות ו</w:t>
      </w:r>
      <w:r>
        <w:rPr>
          <w:rFonts w:hint="cs"/>
          <w:b/>
          <w:bCs/>
          <w:rtl/>
        </w:rPr>
        <w:t xml:space="preserve">לבלום </w:t>
      </w:r>
      <w:r>
        <w:rPr>
          <w:rFonts w:hint="cs"/>
          <w:rtl/>
        </w:rPr>
        <w:t>את אותן עסקאות מיזוג המקימות</w:t>
      </w:r>
      <w:r>
        <w:rPr>
          <w:rFonts w:hint="cs"/>
          <w:b/>
          <w:bCs/>
          <w:rtl/>
        </w:rPr>
        <w:t xml:space="preserve"> </w:t>
      </w:r>
      <w:r w:rsidR="00AF1933">
        <w:rPr>
          <w:rFonts w:hint="cs"/>
          <w:b/>
          <w:bCs/>
          <w:rtl/>
        </w:rPr>
        <w:t xml:space="preserve">חשש סביר </w:t>
      </w:r>
      <w:r>
        <w:rPr>
          <w:rFonts w:hint="cs"/>
          <w:b/>
          <w:bCs/>
          <w:rtl/>
        </w:rPr>
        <w:t>ל</w:t>
      </w:r>
      <w:r w:rsidR="00A10BBA">
        <w:rPr>
          <w:rFonts w:hint="cs"/>
          <w:b/>
          <w:bCs/>
          <w:rtl/>
        </w:rPr>
        <w:t>הגבלת מידת התחרות</w:t>
      </w:r>
      <w:r>
        <w:rPr>
          <w:rFonts w:hint="cs"/>
          <w:b/>
          <w:bCs/>
          <w:rtl/>
        </w:rPr>
        <w:t xml:space="preserve"> תחרות </w:t>
      </w:r>
      <w:r>
        <w:rPr>
          <w:rFonts w:hint="cs"/>
          <w:rtl/>
        </w:rPr>
        <w:t xml:space="preserve">בענף רלבנטי, </w:t>
      </w:r>
      <w:r w:rsidR="00A10BBA">
        <w:rPr>
          <w:rFonts w:hint="cs"/>
          <w:rtl/>
        </w:rPr>
        <w:t xml:space="preserve">כל שזו לא תהווה אפקטיבית עוד, </w:t>
      </w:r>
      <w:r>
        <w:rPr>
          <w:rFonts w:hint="cs"/>
          <w:rtl/>
        </w:rPr>
        <w:t xml:space="preserve">או </w:t>
      </w:r>
      <w:r>
        <w:rPr>
          <w:rtl/>
        </w:rPr>
        <w:t>–</w:t>
      </w:r>
      <w:r>
        <w:rPr>
          <w:rFonts w:hint="cs"/>
          <w:rtl/>
        </w:rPr>
        <w:t xml:space="preserve"> אם אין תחרות כזו בנמצא </w:t>
      </w:r>
      <w:r>
        <w:rPr>
          <w:rtl/>
        </w:rPr>
        <w:t>–</w:t>
      </w:r>
      <w:r>
        <w:rPr>
          <w:rFonts w:hint="cs"/>
          <w:rtl/>
        </w:rPr>
        <w:t xml:space="preserve"> לבלום אותן עסקאות אשר </w:t>
      </w:r>
      <w:r>
        <w:rPr>
          <w:rFonts w:hint="cs"/>
          <w:b/>
          <w:bCs/>
          <w:rtl/>
        </w:rPr>
        <w:t>ימנעו או יקשו על היווצרות תחרות כזו בעתיד</w:t>
      </w:r>
      <w:r>
        <w:rPr>
          <w:rFonts w:hint="cs"/>
          <w:rtl/>
        </w:rPr>
        <w:t xml:space="preserve">.  </w:t>
      </w:r>
    </w:p>
    <w:p w:rsidR="001F2104" w:rsidRDefault="001F2104" w:rsidP="001F2104">
      <w:pPr>
        <w:spacing w:after="240"/>
        <w:ind w:left="34"/>
        <w:rPr>
          <w:rFonts w:hint="cs"/>
          <w:rtl/>
        </w:rPr>
      </w:pPr>
    </w:p>
    <w:p w:rsidR="007E35C6" w:rsidRPr="008F76DA" w:rsidRDefault="007E35C6" w:rsidP="008F76DA">
      <w:pPr>
        <w:pStyle w:val="Heading2"/>
        <w:rPr>
          <w:rFonts w:cs="David" w:hint="cs"/>
          <w:i w:val="0"/>
          <w:iCs w:val="0"/>
          <w:rtl/>
        </w:rPr>
      </w:pPr>
      <w:bookmarkStart w:id="3" w:name="_Toc151956799"/>
      <w:r w:rsidRPr="008F76DA">
        <w:rPr>
          <w:rFonts w:cs="David" w:hint="cs"/>
          <w:i w:val="0"/>
          <w:iCs w:val="0"/>
          <w:rtl/>
        </w:rPr>
        <w:t>א.2</w:t>
      </w:r>
      <w:r w:rsidR="009B7F72" w:rsidRPr="008F76DA">
        <w:rPr>
          <w:rFonts w:cs="David" w:hint="cs"/>
          <w:i w:val="0"/>
          <w:iCs w:val="0"/>
          <w:rtl/>
        </w:rPr>
        <w:t>.</w:t>
      </w:r>
      <w:r w:rsidRPr="008F76DA">
        <w:rPr>
          <w:rFonts w:cs="David" w:hint="cs"/>
          <w:i w:val="0"/>
          <w:iCs w:val="0"/>
          <w:rtl/>
        </w:rPr>
        <w:t xml:space="preserve"> מבנה הפיקוח על מיזוגים בישראל</w:t>
      </w:r>
      <w:bookmarkEnd w:id="3"/>
    </w:p>
    <w:p w:rsidR="007E35C6" w:rsidRDefault="007E35C6" w:rsidP="007270E3">
      <w:pPr>
        <w:pStyle w:val="BodyText"/>
        <w:spacing w:after="240"/>
        <w:ind w:left="34"/>
        <w:rPr>
          <w:rFonts w:hint="cs"/>
          <w:rtl/>
        </w:rPr>
      </w:pPr>
      <w:r>
        <w:rPr>
          <w:rFonts w:hint="cs"/>
          <w:rtl/>
        </w:rPr>
        <w:t xml:space="preserve">מערך הפיקוח על מיזוגים בישראל עשוי שלושה נדבכים: </w:t>
      </w:r>
    </w:p>
    <w:p w:rsidR="007E35C6" w:rsidRDefault="007E35C6" w:rsidP="007270E3">
      <w:pPr>
        <w:pStyle w:val="BodyText"/>
        <w:spacing w:after="240"/>
        <w:ind w:left="34"/>
        <w:rPr>
          <w:rFonts w:hint="cs"/>
          <w:rtl/>
        </w:rPr>
      </w:pPr>
      <w:r>
        <w:rPr>
          <w:rFonts w:hint="cs"/>
          <w:rtl/>
        </w:rPr>
        <w:t xml:space="preserve">בשלב הראשון, </w:t>
      </w:r>
      <w:r>
        <w:rPr>
          <w:rFonts w:hint="cs"/>
          <w:b/>
          <w:bCs/>
          <w:rtl/>
        </w:rPr>
        <w:t>שלב סיווג העסקה,</w:t>
      </w:r>
      <w:r>
        <w:rPr>
          <w:rFonts w:hint="cs"/>
          <w:rtl/>
        </w:rPr>
        <w:t xml:space="preserve"> תופס מערך הפיקוח ברשתו את שלל העסקאות המהוות מיזוג חברות, היינו </w:t>
      </w:r>
      <w:r>
        <w:rPr>
          <w:rtl/>
        </w:rPr>
        <w:t>–</w:t>
      </w:r>
      <w:r>
        <w:rPr>
          <w:rFonts w:hint="cs"/>
          <w:rtl/>
        </w:rPr>
        <w:t xml:space="preserve"> עסקאות היוצרות זיקה בין מנגנוני קבלת ההחלטות של עסקים נפרדים, או מחזקות באופן ממשי זיקה שהייתה כבר בנמצא ביניהם.</w:t>
      </w:r>
      <w:r w:rsidR="00281397">
        <w:rPr>
          <w:rStyle w:val="FootnoteReference"/>
          <w:rtl/>
        </w:rPr>
        <w:footnoteReference w:id="6"/>
      </w:r>
      <w:r>
        <w:rPr>
          <w:rFonts w:hint="cs"/>
          <w:rtl/>
        </w:rPr>
        <w:t xml:space="preserve"> </w:t>
      </w:r>
    </w:p>
    <w:p w:rsidR="007E35C6" w:rsidRDefault="007E35C6" w:rsidP="007270E3">
      <w:pPr>
        <w:pStyle w:val="BodyText"/>
        <w:spacing w:after="240"/>
        <w:ind w:left="34"/>
        <w:rPr>
          <w:rFonts w:hint="cs"/>
          <w:rtl/>
        </w:rPr>
      </w:pPr>
      <w:r>
        <w:rPr>
          <w:rFonts w:hint="cs"/>
          <w:rtl/>
        </w:rPr>
        <w:t xml:space="preserve">בשלב השני, </w:t>
      </w:r>
      <w:r>
        <w:rPr>
          <w:rFonts w:hint="cs"/>
          <w:b/>
          <w:bCs/>
          <w:rtl/>
        </w:rPr>
        <w:t>שלב זיהוי האינטרס הציבורי בבחינתה של העסקה</w:t>
      </w:r>
      <w:r>
        <w:rPr>
          <w:rFonts w:hint="cs"/>
          <w:rtl/>
        </w:rPr>
        <w:t>, מ</w:t>
      </w:r>
      <w:r w:rsidR="00A430A3">
        <w:rPr>
          <w:rFonts w:hint="cs"/>
          <w:rtl/>
        </w:rPr>
        <w:t xml:space="preserve">בצע החוק ניפוי גס של עסקאות מיזוג, אשר לפי נפח הפעילות הכלכלית שמנהלים הצדדים המהותיים להן, או מעמדם התחרותי של צדדים אלה, אין </w:t>
      </w:r>
      <w:r>
        <w:rPr>
          <w:rFonts w:hint="cs"/>
          <w:rtl/>
        </w:rPr>
        <w:t>אינטרס ציבורי התומך בבחינתן.</w:t>
      </w:r>
      <w:r>
        <w:rPr>
          <w:rStyle w:val="FootnoteReference"/>
          <w:rtl/>
        </w:rPr>
        <w:footnoteReference w:id="7"/>
      </w:r>
      <w:r>
        <w:rPr>
          <w:rFonts w:hint="cs"/>
          <w:rtl/>
        </w:rPr>
        <w:t xml:space="preserve"> </w:t>
      </w:r>
    </w:p>
    <w:p w:rsidR="007E35C6" w:rsidRDefault="004D66A9" w:rsidP="004A4915">
      <w:pPr>
        <w:pStyle w:val="BodyText"/>
        <w:spacing w:after="120"/>
        <w:ind w:left="32"/>
        <w:rPr>
          <w:rFonts w:hint="cs"/>
          <w:rtl/>
        </w:rPr>
      </w:pPr>
      <w:r>
        <w:rPr>
          <w:noProof/>
          <w:sz w:val="20"/>
          <w:rtl/>
          <w:lang w:eastAsia="en-US"/>
        </w:rPr>
        <mc:AlternateContent>
          <mc:Choice Requires="wps">
            <w:drawing>
              <wp:anchor distT="0" distB="0" distL="114300" distR="114300" simplePos="0" relativeHeight="251658752" behindDoc="0" locked="0" layoutInCell="1" allowOverlap="1">
                <wp:simplePos x="0" y="0"/>
                <wp:positionH relativeFrom="column">
                  <wp:posOffset>0</wp:posOffset>
                </wp:positionH>
                <wp:positionV relativeFrom="paragraph">
                  <wp:posOffset>121285</wp:posOffset>
                </wp:positionV>
                <wp:extent cx="5257800" cy="800100"/>
                <wp:effectExtent l="7620" t="9525" r="11430" b="9525"/>
                <wp:wrapNone/>
                <wp:docPr id="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800100"/>
                        </a:xfrm>
                        <a:prstGeom prst="rect">
                          <a:avLst/>
                        </a:prstGeom>
                        <a:solidFill>
                          <a:srgbClr val="FFFFFF"/>
                        </a:solidFill>
                        <a:ln w="9525">
                          <a:solidFill>
                            <a:srgbClr val="000000"/>
                          </a:solidFill>
                          <a:miter lim="800000"/>
                          <a:headEnd/>
                          <a:tailEnd/>
                        </a:ln>
                      </wps:spPr>
                      <wps:txbx>
                        <w:txbxContent>
                          <w:p w:rsidR="00293CD3" w:rsidRDefault="00293CD3" w:rsidP="0006006B">
                            <w:pPr>
                              <w:rPr>
                                <w:b/>
                                <w:bCs/>
                                <w:color w:val="0000FF"/>
                                <w:rtl/>
                              </w:rPr>
                            </w:pPr>
                            <w:r>
                              <w:rPr>
                                <w:rFonts w:hint="cs"/>
                                <w:b/>
                                <w:bCs/>
                                <w:color w:val="0000FF"/>
                                <w:rtl/>
                              </w:rPr>
                              <w:t xml:space="preserve">רק עסקה אשר סווגה כעסקת מיזוג ומתקיימת בה אחת או יותר מהחלופות </w:t>
                            </w:r>
                            <w:r w:rsidR="00A10BBA">
                              <w:rPr>
                                <w:rFonts w:hint="cs"/>
                                <w:b/>
                                <w:bCs/>
                                <w:color w:val="0000FF"/>
                                <w:rtl/>
                              </w:rPr>
                              <w:t xml:space="preserve">שבחוק, אשר </w:t>
                            </w:r>
                            <w:r>
                              <w:rPr>
                                <w:rFonts w:hint="cs"/>
                                <w:b/>
                                <w:bCs/>
                                <w:color w:val="0000FF"/>
                                <w:rtl/>
                              </w:rPr>
                              <w:t xml:space="preserve">קובעות כי יש אינטרס ציבורי בבחינתה, מחייבת הגשת הודעת מיזוג לממונה וקבלת אישורו טרם ביצועה. עסקה כזו עוברת לשלב הפיקוח השלישי והסופי </w:t>
                            </w:r>
                            <w:r>
                              <w:rPr>
                                <w:b/>
                                <w:bCs/>
                                <w:color w:val="0000FF"/>
                                <w:rtl/>
                              </w:rPr>
                              <w:t>–</w:t>
                            </w:r>
                            <w:r>
                              <w:rPr>
                                <w:rFonts w:hint="cs"/>
                                <w:b/>
                                <w:bCs/>
                                <w:color w:val="0000FF"/>
                                <w:rtl/>
                              </w:rPr>
                              <w:t xml:space="preserve"> הוא שלב הניתוח התחרותי.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28" type="#_x0000_t202" style="position:absolute;left:0;text-align:left;margin-left:0;margin-top:9.55pt;width:414pt;height:63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FUAKAIAAFgEAAAOAAAAZHJzL2Uyb0RvYy54bWysVNtu2zAMfR+wfxD0vtgOkjU14hRdugwD&#10;ugvQ7gNkWbaFSaImKbGzrx8lp2l2exnmB4EUqUPykPT6ZtSKHITzEkxFi1lOiTAcGmm6in553L1a&#10;UeIDMw1TYERFj8LTm83LF+vBlmIOPahGOIIgxpeDrWgfgi2zzPNeaOZnYIVBYwtOs4Cq67LGsQHR&#10;tcrmef46G8A11gEX3uPt3WSkm4TftoKHT23rRSCqophbSKdLZx3PbLNmZeeY7SU/pcH+IQvNpMGg&#10;Z6g7FhjZO/kblJbcgYc2zDjoDNpWcpFqwGqK/JdqHnpmRaoFyfH2TJP/f7D84+GzI7KpKDbKMI0t&#10;ehRjIG9gJMUq0jNYX6LXg0W/MOI9tjmV6u098K+eGNj2zHTi1jkYesEaTK+IL7OLpxOOjyD18AEa&#10;jMP2ARLQ2DoduUM2CKJjm47n1sRcOF4u58urVY4mjjYUCpRjCFY+vbbOh3cCNIlCRR22PqGzw70P&#10;k+uTSwzmQclmJ5VKiuvqrXLkwHBMduk7of/kpgwZKnqNuUwE/BUiT9+fILQMOO9K6lQFukUnVkba&#10;3pomyYFJNclYnTInHiN1E4lhrMfUsWV8GzmuoTkisQ6m8cZ1RKEH952SAUe7ov7bnjlBiXpvsDnX&#10;xWIRdyEpi+XVHBV3aakvLcxwhKpooGQSt2Han711susx0jQOBm6xoa1MXD9ndUofxzd167RqcT8u&#10;9eT1/EPY/AAAAP//AwBQSwMEFAAGAAgAAAAhAOlmsffcAAAABwEAAA8AAABkcnMvZG93bnJldi54&#10;bWxMj8FOwzAMhu9IvENkJC6IpR1jdKXphJBA7AYDwTVrvLYicUqSdeXtMSc4+vut35+r9eSsGDHE&#10;3pOCfJaBQGq86alV8Pb6cFmAiEmT0dYTKvjGCOv69KTSpfFHesFxm1rBJRRLraBLaSiljE2HTseZ&#10;H5A42/vgdOIxtNIEfeRyZ+U8y5bS6Z74QqcHvO+w+dwenIJi8TR+xM3V83uz3NtVurgZH7+CUudn&#10;090tiIRT+luGX31Wh5qddv5AJgqrgB9JTFc5CE6LecFgx2BxnYOsK/nfv/4BAAD//wMAUEsBAi0A&#10;FAAGAAgAAAAhALaDOJL+AAAA4QEAABMAAAAAAAAAAAAAAAAAAAAAAFtDb250ZW50X1R5cGVzXS54&#10;bWxQSwECLQAUAAYACAAAACEAOP0h/9YAAACUAQAACwAAAAAAAAAAAAAAAAAvAQAAX3JlbHMvLnJl&#10;bHNQSwECLQAUAAYACAAAACEATRhVACgCAABYBAAADgAAAAAAAAAAAAAAAAAuAgAAZHJzL2Uyb0Rv&#10;Yy54bWxQSwECLQAUAAYACAAAACEA6Wax99wAAAAHAQAADwAAAAAAAAAAAAAAAACCBAAAZHJzL2Rv&#10;d25yZXYueG1sUEsFBgAAAAAEAAQA8wAAAIsFAAAAAA==&#10;">
                <v:textbox>
                  <w:txbxContent>
                    <w:p w:rsidR="00293CD3" w:rsidRDefault="00293CD3" w:rsidP="0006006B">
                      <w:pPr>
                        <w:rPr>
                          <w:b/>
                          <w:bCs/>
                          <w:color w:val="0000FF"/>
                          <w:rtl/>
                        </w:rPr>
                      </w:pPr>
                      <w:r>
                        <w:rPr>
                          <w:rFonts w:hint="cs"/>
                          <w:b/>
                          <w:bCs/>
                          <w:color w:val="0000FF"/>
                          <w:rtl/>
                        </w:rPr>
                        <w:t xml:space="preserve">רק עסקה אשר סווגה כעסקת מיזוג ומתקיימת בה אחת או יותר מהחלופות </w:t>
                      </w:r>
                      <w:r w:rsidR="00A10BBA">
                        <w:rPr>
                          <w:rFonts w:hint="cs"/>
                          <w:b/>
                          <w:bCs/>
                          <w:color w:val="0000FF"/>
                          <w:rtl/>
                        </w:rPr>
                        <w:t xml:space="preserve">שבחוק, אשר </w:t>
                      </w:r>
                      <w:r>
                        <w:rPr>
                          <w:rFonts w:hint="cs"/>
                          <w:b/>
                          <w:bCs/>
                          <w:color w:val="0000FF"/>
                          <w:rtl/>
                        </w:rPr>
                        <w:t xml:space="preserve">קובעות כי יש אינטרס ציבורי בבחינתה, מחייבת הגשת הודעת מיזוג לממונה וקבלת אישורו טרם ביצועה. עסקה כזו עוברת לשלב הפיקוח השלישי והסופי </w:t>
                      </w:r>
                      <w:r>
                        <w:rPr>
                          <w:b/>
                          <w:bCs/>
                          <w:color w:val="0000FF"/>
                          <w:rtl/>
                        </w:rPr>
                        <w:t>–</w:t>
                      </w:r>
                      <w:r>
                        <w:rPr>
                          <w:rFonts w:hint="cs"/>
                          <w:b/>
                          <w:bCs/>
                          <w:color w:val="0000FF"/>
                          <w:rtl/>
                        </w:rPr>
                        <w:t xml:space="preserve"> הוא שלב הניתוח התחרותי.</w:t>
                      </w:r>
                    </w:p>
                  </w:txbxContent>
                </v:textbox>
              </v:shape>
            </w:pict>
          </mc:Fallback>
        </mc:AlternateContent>
      </w:r>
    </w:p>
    <w:p w:rsidR="00A51FD4" w:rsidRDefault="00A51FD4" w:rsidP="004A4915">
      <w:pPr>
        <w:pStyle w:val="BodyText"/>
        <w:spacing w:after="120"/>
        <w:ind w:left="32"/>
        <w:rPr>
          <w:rFonts w:hint="cs"/>
          <w:rtl/>
        </w:rPr>
      </w:pPr>
    </w:p>
    <w:p w:rsidR="00A51FD4" w:rsidRDefault="00A51FD4" w:rsidP="004A4915">
      <w:pPr>
        <w:pStyle w:val="BodyText"/>
        <w:spacing w:after="120"/>
        <w:ind w:left="32"/>
        <w:rPr>
          <w:rFonts w:hint="cs"/>
          <w:rtl/>
        </w:rPr>
      </w:pPr>
    </w:p>
    <w:p w:rsidR="00A51FD4" w:rsidRDefault="00A51FD4" w:rsidP="004A4915">
      <w:pPr>
        <w:pStyle w:val="BodyText"/>
        <w:spacing w:after="120"/>
        <w:ind w:left="32"/>
        <w:rPr>
          <w:rFonts w:hint="cs"/>
          <w:rtl/>
        </w:rPr>
      </w:pPr>
    </w:p>
    <w:p w:rsidR="007E35C6" w:rsidRDefault="007E35C6" w:rsidP="00B52561">
      <w:pPr>
        <w:pStyle w:val="BodyText"/>
        <w:spacing w:after="240"/>
        <w:ind w:left="34"/>
        <w:rPr>
          <w:rFonts w:hint="cs"/>
          <w:rtl/>
        </w:rPr>
      </w:pPr>
      <w:r>
        <w:rPr>
          <w:rFonts w:hint="cs"/>
          <w:rtl/>
        </w:rPr>
        <w:t xml:space="preserve">רק בשלב השלישי, </w:t>
      </w:r>
      <w:r>
        <w:rPr>
          <w:rFonts w:hint="cs"/>
          <w:b/>
          <w:bCs/>
          <w:rtl/>
        </w:rPr>
        <w:t>שלב הניתוח התחרותי</w:t>
      </w:r>
      <w:r>
        <w:rPr>
          <w:rFonts w:hint="cs"/>
          <w:rtl/>
        </w:rPr>
        <w:t>, נבחנת ונאמדת בפירוט ההשפעה התחרותית המסתברת על התחרות של עסקת המיזוג. כאמור, לשלב זה מגיעות רק אותן עסקאות שסווגו כעסקאות מיזוג ושנמצא</w:t>
      </w:r>
      <w:r w:rsidR="00670A85">
        <w:rPr>
          <w:rFonts w:hint="cs"/>
          <w:rtl/>
        </w:rPr>
        <w:t xml:space="preserve">, לפי הוראת סעיף 17 לחוק, </w:t>
      </w:r>
      <w:r>
        <w:rPr>
          <w:rFonts w:hint="cs"/>
          <w:rtl/>
        </w:rPr>
        <w:t xml:space="preserve">כי יש </w:t>
      </w:r>
      <w:r w:rsidR="00713C1C">
        <w:rPr>
          <w:rFonts w:hint="cs"/>
          <w:rtl/>
        </w:rPr>
        <w:t xml:space="preserve">אינטרס </w:t>
      </w:r>
      <w:r>
        <w:rPr>
          <w:rFonts w:hint="cs"/>
          <w:rtl/>
        </w:rPr>
        <w:t xml:space="preserve">לציבור בבחינתן. </w:t>
      </w:r>
    </w:p>
    <w:p w:rsidR="007E35C6" w:rsidRDefault="007E35C6" w:rsidP="00B52561">
      <w:pPr>
        <w:spacing w:after="240"/>
        <w:ind w:left="34"/>
        <w:rPr>
          <w:rFonts w:hint="cs"/>
          <w:rtl/>
        </w:rPr>
      </w:pPr>
      <w:r w:rsidRPr="00563E13">
        <w:rPr>
          <w:rFonts w:hint="cs"/>
          <w:rtl/>
        </w:rPr>
        <w:t>נמצא אפוא</w:t>
      </w:r>
      <w:r w:rsidR="00A256C5" w:rsidRPr="00563E13">
        <w:rPr>
          <w:rFonts w:hint="cs"/>
          <w:rtl/>
        </w:rPr>
        <w:t>,</w:t>
      </w:r>
      <w:r w:rsidRPr="00563E13">
        <w:rPr>
          <w:rFonts w:hint="cs"/>
          <w:rtl/>
        </w:rPr>
        <w:t xml:space="preserve"> כי </w:t>
      </w:r>
      <w:r w:rsidR="00A256C5" w:rsidRPr="00563E13">
        <w:rPr>
          <w:rFonts w:hint="cs"/>
          <w:rtl/>
        </w:rPr>
        <w:t>ניתוח השפעות העסקה על התחרות מהווה שלב נפרד מבחינה כרונולוגית ומשפטית, לשלב בו נבחנת ונקבעת חובת הדיווח בגין העסקה. עניינ</w:t>
      </w:r>
      <w:r w:rsidR="006774B1" w:rsidRPr="00563E13">
        <w:rPr>
          <w:rFonts w:hint="cs"/>
          <w:rtl/>
        </w:rPr>
        <w:t>ו של שלב זה הוא ב</w:t>
      </w:r>
      <w:r w:rsidR="00A256C5" w:rsidRPr="00563E13">
        <w:rPr>
          <w:rFonts w:hint="cs"/>
          <w:rtl/>
        </w:rPr>
        <w:t xml:space="preserve">אפיון </w:t>
      </w:r>
      <w:r w:rsidRPr="00563E13">
        <w:rPr>
          <w:rFonts w:hint="cs"/>
          <w:rtl/>
        </w:rPr>
        <w:t xml:space="preserve">סוג העסקה שיש להביא לבחינה אצל הממונה </w:t>
      </w:r>
      <w:r w:rsidRPr="00563E13">
        <w:rPr>
          <w:rtl/>
        </w:rPr>
        <w:t>–</w:t>
      </w:r>
      <w:r w:rsidRPr="00563E13">
        <w:rPr>
          <w:rFonts w:hint="cs"/>
          <w:rtl/>
        </w:rPr>
        <w:t xml:space="preserve"> עסקת מיזוג החברות</w:t>
      </w:r>
      <w:r w:rsidR="006774B1" w:rsidRPr="00563E13">
        <w:rPr>
          <w:rFonts w:hint="cs"/>
          <w:rtl/>
        </w:rPr>
        <w:t xml:space="preserve">. </w:t>
      </w:r>
      <w:r w:rsidRPr="00563E13">
        <w:rPr>
          <w:rFonts w:hint="cs"/>
          <w:rtl/>
        </w:rPr>
        <w:t>הנחתו של המחוקק הייתה</w:t>
      </w:r>
      <w:r>
        <w:rPr>
          <w:rFonts w:hint="cs"/>
          <w:rtl/>
        </w:rPr>
        <w:t xml:space="preserve"> כי סוג זה של עסקאות, כאשר הוא נעשה בין יחידות כלכליות מסוג מסוים או בגודל מסוים, עשוי</w:t>
      </w:r>
      <w:r w:rsidR="00CB1CE6">
        <w:rPr>
          <w:rFonts w:hint="cs"/>
          <w:rtl/>
        </w:rPr>
        <w:t>,</w:t>
      </w:r>
      <w:r>
        <w:rPr>
          <w:rFonts w:hint="cs"/>
          <w:rtl/>
        </w:rPr>
        <w:t xml:space="preserve"> </w:t>
      </w:r>
      <w:r w:rsidR="00AA3C8A">
        <w:rPr>
          <w:rFonts w:hint="cs"/>
          <w:rtl/>
        </w:rPr>
        <w:t xml:space="preserve">בנסיבות מסוימות, </w:t>
      </w:r>
      <w:r w:rsidR="00AF1933">
        <w:rPr>
          <w:rFonts w:hint="cs"/>
          <w:rtl/>
        </w:rPr>
        <w:t>להקים חשש להגבלת התחרות. חשש זה אינו מצדיק, כשלעצמו, לבלום את המיזוג, אלא מחייב את בחינת המיזוג מבעד לעדשת התחרות בעסקים ואינטרס הציבור</w:t>
      </w:r>
      <w:r>
        <w:rPr>
          <w:rFonts w:hint="cs"/>
          <w:rtl/>
        </w:rPr>
        <w:t xml:space="preserve">. מכאן החובה להביא את העסקה לבדיקת הממונה </w:t>
      </w:r>
      <w:r w:rsidR="0023546B">
        <w:rPr>
          <w:rFonts w:hint="cs"/>
          <w:rtl/>
        </w:rPr>
        <w:t>ולאישורה</w:t>
      </w:r>
      <w:r>
        <w:rPr>
          <w:rFonts w:hint="cs"/>
          <w:rtl/>
        </w:rPr>
        <w:t xml:space="preserve">. </w:t>
      </w:r>
    </w:p>
    <w:p w:rsidR="007E35C6" w:rsidRDefault="007E35C6" w:rsidP="00B52561">
      <w:pPr>
        <w:pStyle w:val="Heading1"/>
        <w:spacing w:before="120" w:after="240" w:line="360" w:lineRule="auto"/>
        <w:ind w:left="34"/>
        <w:rPr>
          <w:rFonts w:ascii="Times New Roman" w:hAnsi="Times New Roman" w:cs="David" w:hint="cs"/>
          <w:kern w:val="0"/>
          <w:rtl/>
        </w:rPr>
      </w:pPr>
      <w:bookmarkStart w:id="4" w:name="_Toc151956800"/>
      <w:r>
        <w:rPr>
          <w:rFonts w:ascii="Times New Roman" w:hAnsi="Times New Roman" w:cs="David" w:hint="cs"/>
          <w:kern w:val="0"/>
          <w:rtl/>
        </w:rPr>
        <w:t>ב. משמעות תחולת פרק המיזוגים על עסקת מיזוג: חובת הפנייה המוקדמת וחובת ההמתנה</w:t>
      </w:r>
      <w:bookmarkEnd w:id="4"/>
    </w:p>
    <w:p w:rsidR="007847D8" w:rsidRPr="008F76DA" w:rsidRDefault="007847D8" w:rsidP="008F76DA">
      <w:pPr>
        <w:pStyle w:val="Heading2"/>
        <w:rPr>
          <w:rFonts w:cs="David" w:hint="cs"/>
          <w:i w:val="0"/>
          <w:iCs w:val="0"/>
          <w:rtl/>
        </w:rPr>
      </w:pPr>
      <w:bookmarkStart w:id="5" w:name="_Toc151956801"/>
      <w:r w:rsidRPr="008F76DA">
        <w:rPr>
          <w:rFonts w:cs="David" w:hint="cs"/>
          <w:i w:val="0"/>
          <w:iCs w:val="0"/>
          <w:rtl/>
        </w:rPr>
        <w:t>ב.1. כללי</w:t>
      </w:r>
      <w:bookmarkEnd w:id="5"/>
    </w:p>
    <w:p w:rsidR="007E35C6" w:rsidRDefault="007E35C6" w:rsidP="00B52561">
      <w:pPr>
        <w:spacing w:after="240"/>
        <w:ind w:left="34"/>
        <w:rPr>
          <w:rFonts w:hint="cs"/>
          <w:rtl/>
        </w:rPr>
      </w:pPr>
      <w:r>
        <w:rPr>
          <w:rFonts w:hint="cs"/>
          <w:rtl/>
        </w:rPr>
        <w:t xml:space="preserve">פרק המיזוגים שבחוק ההגבלים העסקיים מוסב על עסקאות מסוג של </w:t>
      </w:r>
      <w:r w:rsidR="00AA3C8A">
        <w:rPr>
          <w:rFonts w:hint="cs"/>
          <w:rtl/>
        </w:rPr>
        <w:t xml:space="preserve">השגת </w:t>
      </w:r>
      <w:r w:rsidR="00A430A3">
        <w:rPr>
          <w:rFonts w:hint="cs"/>
          <w:rtl/>
        </w:rPr>
        <w:t xml:space="preserve">דריסת רגל בפעילות עסקית (או הידוק דריסת רגל קיימת). </w:t>
      </w:r>
      <w:r>
        <w:rPr>
          <w:rFonts w:hint="cs"/>
          <w:rtl/>
        </w:rPr>
        <w:t>החוק אינו מתעניין בדרך בה מקבל עסק אחד לידיו זיקת השפעה בפעילותו העסקית של עסק אחר.  עניינו בתוצאה התחרותית של מיזוג כזה על השוק הרלבנטי.</w:t>
      </w:r>
    </w:p>
    <w:p w:rsidR="007E35C6" w:rsidRDefault="007E35C6" w:rsidP="001F2104">
      <w:pPr>
        <w:spacing w:after="240"/>
        <w:ind w:left="34"/>
        <w:rPr>
          <w:rFonts w:hint="cs"/>
          <w:rtl/>
        </w:rPr>
      </w:pPr>
      <w:r>
        <w:rPr>
          <w:rFonts w:hint="cs"/>
          <w:rtl/>
        </w:rPr>
        <w:t xml:space="preserve">הואיל ובדיקתן של כלל עסקאות המיזוג במשק הישראלי אינה יעילה, קבע המחוקק מסננות שתפקידן לסנן ולהותיר לבחינה, מכלל עסקאות הרכישה במשק, את אותן עסקאות שלגביהן קיימת הסתברות גבוהה יותר כי הן עשויות לפגוע בתחרות.  מסננות אלה מצויות בעיקר בסעיף 17 לחוק המגדיר מהן העסקאות </w:t>
      </w:r>
      <w:r w:rsidR="001F2104">
        <w:rPr>
          <w:rFonts w:hint="cs"/>
          <w:rtl/>
        </w:rPr>
        <w:t xml:space="preserve">שקיים </w:t>
      </w:r>
      <w:r>
        <w:rPr>
          <w:rFonts w:hint="cs"/>
          <w:rtl/>
        </w:rPr>
        <w:t>עניין לציבור</w:t>
      </w:r>
      <w:r w:rsidR="001F2104">
        <w:rPr>
          <w:rFonts w:hint="cs"/>
          <w:rtl/>
        </w:rPr>
        <w:t xml:space="preserve"> בבדיקתן התחרותית</w:t>
      </w:r>
      <w:r>
        <w:rPr>
          <w:rFonts w:hint="cs"/>
          <w:rtl/>
        </w:rPr>
        <w:t>.  על היקפן ופרשנותן של מסננות אלה נעמוד להלן.</w:t>
      </w:r>
    </w:p>
    <w:p w:rsidR="007E35C6" w:rsidRDefault="007E35C6" w:rsidP="00B52561">
      <w:pPr>
        <w:spacing w:after="240"/>
        <w:ind w:left="34"/>
        <w:rPr>
          <w:rFonts w:hint="cs"/>
          <w:rtl/>
        </w:rPr>
      </w:pPr>
      <w:r>
        <w:rPr>
          <w:rFonts w:hint="cs"/>
          <w:rtl/>
        </w:rPr>
        <w:t xml:space="preserve">משנכנסה עסקת רכישה לפרק המיזוגים שבחוק ההגבלים העסקיים </w:t>
      </w:r>
      <w:r>
        <w:rPr>
          <w:rtl/>
        </w:rPr>
        <w:t>–</w:t>
      </w:r>
      <w:r>
        <w:rPr>
          <w:rFonts w:hint="cs"/>
          <w:rtl/>
        </w:rPr>
        <w:t xml:space="preserve"> חייבים הצדדים ב</w:t>
      </w:r>
      <w:r>
        <w:rPr>
          <w:rFonts w:hint="cs"/>
          <w:b/>
          <w:bCs/>
          <w:rtl/>
        </w:rPr>
        <w:t>חובות מיוחדות</w:t>
      </w:r>
      <w:r>
        <w:rPr>
          <w:rFonts w:hint="cs"/>
          <w:rtl/>
        </w:rPr>
        <w:t>, עליהן מקפידה הרשות הקפדה יתירה.  מקורן של חובות אלה בסעיף 19 לחוק, הקובע:</w:t>
      </w:r>
    </w:p>
    <w:p w:rsidR="007E35C6" w:rsidRDefault="007E35C6" w:rsidP="00B52561">
      <w:pPr>
        <w:pStyle w:val="-"/>
        <w:rPr>
          <w:rFonts w:hint="cs"/>
          <w:rtl/>
        </w:rPr>
      </w:pPr>
      <w:r>
        <w:rPr>
          <w:rFonts w:hint="cs"/>
          <w:rtl/>
        </w:rPr>
        <w:t xml:space="preserve">"לא יתמזגו חברות אלא אם כן ניתנה תחילה הודעת מיזוג ונתקבלה למיזוג הסכמת הממונה, ואם היתה מותנית </w:t>
      </w:r>
      <w:r>
        <w:rPr>
          <w:rtl/>
        </w:rPr>
        <w:t>–</w:t>
      </w:r>
      <w:r>
        <w:rPr>
          <w:rFonts w:hint="cs"/>
          <w:rtl/>
        </w:rPr>
        <w:t xml:space="preserve"> לפי התנאים שקבע, הכל לפי האמור בסימן זה."</w:t>
      </w:r>
    </w:p>
    <w:p w:rsidR="007E35C6" w:rsidRDefault="007E35C6" w:rsidP="001F2104">
      <w:pPr>
        <w:spacing w:after="240"/>
        <w:ind w:left="34"/>
        <w:rPr>
          <w:rFonts w:hint="cs"/>
          <w:rtl/>
        </w:rPr>
      </w:pPr>
      <w:r>
        <w:rPr>
          <w:rFonts w:hint="cs"/>
          <w:rtl/>
        </w:rPr>
        <w:t xml:space="preserve">מן האמור בסעיף נגזרות שתי חובות עיקריות ורחבות החלות על הצדדים למיזוג והן למעשה שני צדדיו של מטבע אחד </w:t>
      </w:r>
      <w:r>
        <w:rPr>
          <w:rtl/>
        </w:rPr>
        <w:t>–</w:t>
      </w:r>
      <w:r>
        <w:rPr>
          <w:rFonts w:hint="cs"/>
          <w:rtl/>
        </w:rPr>
        <w:t xml:space="preserve"> האחת: </w:t>
      </w:r>
      <w:r w:rsidRPr="001F2104">
        <w:rPr>
          <w:rFonts w:hint="cs"/>
          <w:b/>
          <w:bCs/>
          <w:rtl/>
        </w:rPr>
        <w:t>חובת ה</w:t>
      </w:r>
      <w:r w:rsidR="001F2104" w:rsidRPr="001F2104">
        <w:rPr>
          <w:rFonts w:hint="cs"/>
          <w:b/>
          <w:bCs/>
          <w:rtl/>
        </w:rPr>
        <w:t>דיווח המוקדם</w:t>
      </w:r>
      <w:r>
        <w:rPr>
          <w:rFonts w:hint="cs"/>
          <w:rtl/>
        </w:rPr>
        <w:t>, ועיק</w:t>
      </w:r>
      <w:r w:rsidR="001F2104">
        <w:rPr>
          <w:rFonts w:hint="cs"/>
          <w:rtl/>
        </w:rPr>
        <w:t xml:space="preserve">רה בחובת הצדדים למיזוג לפנות אל הממונה, להודיע לו על המיזוג המתוכנן ולקבל את </w:t>
      </w:r>
      <w:r>
        <w:rPr>
          <w:rFonts w:hint="cs"/>
          <w:rtl/>
        </w:rPr>
        <w:t xml:space="preserve">הסכמתו </w:t>
      </w:r>
      <w:r w:rsidR="001F2104">
        <w:rPr>
          <w:rFonts w:hint="cs"/>
          <w:rtl/>
        </w:rPr>
        <w:t xml:space="preserve">המוקדמת </w:t>
      </w:r>
      <w:r>
        <w:rPr>
          <w:rFonts w:hint="cs"/>
          <w:rtl/>
        </w:rPr>
        <w:t>למיזוג</w:t>
      </w:r>
      <w:r w:rsidR="001F2104">
        <w:rPr>
          <w:rFonts w:hint="cs"/>
          <w:rtl/>
        </w:rPr>
        <w:t xml:space="preserve">. </w:t>
      </w:r>
      <w:r>
        <w:rPr>
          <w:rFonts w:hint="cs"/>
          <w:rtl/>
        </w:rPr>
        <w:t>דהיינו</w:t>
      </w:r>
      <w:r w:rsidR="00CB1CE6">
        <w:rPr>
          <w:rFonts w:hint="cs"/>
          <w:rtl/>
        </w:rPr>
        <w:t>,</w:t>
      </w:r>
      <w:r>
        <w:rPr>
          <w:rFonts w:hint="cs"/>
          <w:rtl/>
        </w:rPr>
        <w:t xml:space="preserve"> הפיקוח הוא תנאי מוקדם (</w:t>
      </w:r>
      <w:r>
        <w:rPr>
          <w:rFonts w:hint="cs"/>
        </w:rPr>
        <w:t>E</w:t>
      </w:r>
      <w:r>
        <w:t>x Ante</w:t>
      </w:r>
      <w:r>
        <w:rPr>
          <w:rFonts w:hint="cs"/>
          <w:rtl/>
        </w:rPr>
        <w:t xml:space="preserve">) למעשה המיזוג; והחובה השנייה </w:t>
      </w:r>
      <w:r>
        <w:rPr>
          <w:rtl/>
        </w:rPr>
        <w:t>–</w:t>
      </w:r>
      <w:r>
        <w:rPr>
          <w:rFonts w:hint="cs"/>
          <w:rtl/>
        </w:rPr>
        <w:t xml:space="preserve"> היא </w:t>
      </w:r>
      <w:r w:rsidRPr="001F2104">
        <w:rPr>
          <w:rFonts w:hint="cs"/>
          <w:b/>
          <w:bCs/>
          <w:rtl/>
        </w:rPr>
        <w:t>חובת ההמתנה</w:t>
      </w:r>
      <w:r>
        <w:rPr>
          <w:rFonts w:hint="cs"/>
          <w:rtl/>
        </w:rPr>
        <w:t xml:space="preserve">, ועיקרה באיסור הגמור החל על הצדדים לבצע כל איחוד פעילות שהוא </w:t>
      </w:r>
      <w:r w:rsidRPr="00F923D9">
        <w:rPr>
          <w:rFonts w:hint="cs"/>
          <w:b/>
          <w:bCs/>
          <w:rtl/>
        </w:rPr>
        <w:t>וכל התחלה של מעשה המיזוג</w:t>
      </w:r>
      <w:r>
        <w:rPr>
          <w:rFonts w:hint="cs"/>
          <w:rtl/>
        </w:rPr>
        <w:t xml:space="preserve"> עד לקבלת החלטת הממונה ובכפוף לה.</w:t>
      </w:r>
      <w:r w:rsidR="00FA33C2">
        <w:rPr>
          <w:rStyle w:val="FootnoteReference"/>
          <w:rtl/>
        </w:rPr>
        <w:footnoteReference w:id="8"/>
      </w:r>
    </w:p>
    <w:p w:rsidR="00C411A5" w:rsidRDefault="007E35C6" w:rsidP="001F2104">
      <w:pPr>
        <w:spacing w:after="240"/>
        <w:ind w:left="34"/>
        <w:rPr>
          <w:rFonts w:hint="cs"/>
          <w:rtl/>
        </w:rPr>
      </w:pPr>
      <w:r>
        <w:rPr>
          <w:rFonts w:hint="cs"/>
          <w:rtl/>
        </w:rPr>
        <w:t>חובת ה</w:t>
      </w:r>
      <w:r w:rsidR="001F2104">
        <w:rPr>
          <w:rFonts w:hint="cs"/>
          <w:rtl/>
        </w:rPr>
        <w:t xml:space="preserve">דיווח המוקדם </w:t>
      </w:r>
      <w:r>
        <w:rPr>
          <w:rFonts w:hint="cs"/>
          <w:rtl/>
        </w:rPr>
        <w:t>וחובת ההמתנה הן יסוד מוסד בשיטת הפיקוח</w:t>
      </w:r>
      <w:r w:rsidR="00620582">
        <w:rPr>
          <w:rFonts w:hint="cs"/>
          <w:rtl/>
        </w:rPr>
        <w:t xml:space="preserve">. מטרתו הבסיסית של משטר הפיקוח היא לנטר </w:t>
      </w:r>
      <w:r w:rsidR="00620582" w:rsidRPr="00FA33C2">
        <w:rPr>
          <w:rFonts w:hint="cs"/>
          <w:b/>
          <w:bCs/>
          <w:rtl/>
        </w:rPr>
        <w:t>ולמנוע מראש</w:t>
      </w:r>
      <w:r w:rsidR="00620582">
        <w:rPr>
          <w:rFonts w:hint="cs"/>
          <w:rtl/>
        </w:rPr>
        <w:t xml:space="preserve"> </w:t>
      </w:r>
      <w:r w:rsidR="004517DC">
        <w:rPr>
          <w:rFonts w:hint="cs"/>
          <w:rtl/>
        </w:rPr>
        <w:t>את המטען האנטי-תחרותי שצרור ב</w:t>
      </w:r>
      <w:r w:rsidR="00FA33C2">
        <w:rPr>
          <w:rFonts w:hint="cs"/>
          <w:rtl/>
        </w:rPr>
        <w:t>עסקאות מיזוג</w:t>
      </w:r>
      <w:r w:rsidR="00F10BCE">
        <w:rPr>
          <w:rFonts w:hint="cs"/>
          <w:rtl/>
        </w:rPr>
        <w:t xml:space="preserve"> </w:t>
      </w:r>
      <w:r w:rsidR="004517DC">
        <w:rPr>
          <w:rFonts w:hint="cs"/>
          <w:rtl/>
        </w:rPr>
        <w:t xml:space="preserve">מסוימות. </w:t>
      </w:r>
      <w:r w:rsidR="00103A91">
        <w:rPr>
          <w:rFonts w:hint="cs"/>
          <w:rtl/>
        </w:rPr>
        <w:t xml:space="preserve">הפיקוח המוקדם על עסקאות מיזוג </w:t>
      </w:r>
      <w:r w:rsidR="00C411A5">
        <w:rPr>
          <w:rFonts w:hint="cs"/>
          <w:rtl/>
        </w:rPr>
        <w:t xml:space="preserve">חיוני להגנת התחרות בשווקים. כפי שהסבירו המלומדים </w:t>
      </w:r>
      <w:r w:rsidR="00C411A5">
        <w:rPr>
          <w:rFonts w:hint="cs"/>
        </w:rPr>
        <w:t>A</w:t>
      </w:r>
      <w:r w:rsidR="00C411A5">
        <w:t xml:space="preserve">reeda </w:t>
      </w:r>
      <w:r w:rsidR="00C411A5">
        <w:rPr>
          <w:rFonts w:hint="cs"/>
          <w:rtl/>
        </w:rPr>
        <w:t xml:space="preserve"> </w:t>
      </w:r>
      <w:r w:rsidR="0023546B">
        <w:rPr>
          <w:rFonts w:hint="cs"/>
          <w:rtl/>
        </w:rPr>
        <w:t>ו</w:t>
      </w:r>
      <w:r w:rsidR="00C411A5">
        <w:rPr>
          <w:rFonts w:hint="cs"/>
          <w:rtl/>
        </w:rPr>
        <w:t xml:space="preserve">- </w:t>
      </w:r>
      <w:r w:rsidR="00C411A5">
        <w:rPr>
          <w:rFonts w:hint="cs"/>
        </w:rPr>
        <w:t>H</w:t>
      </w:r>
      <w:r w:rsidR="00C411A5">
        <w:t>ovenkamp</w:t>
      </w:r>
      <w:r w:rsidR="00C411A5">
        <w:rPr>
          <w:rFonts w:hint="cs"/>
          <w:rtl/>
        </w:rPr>
        <w:t xml:space="preserve">: </w:t>
      </w:r>
    </w:p>
    <w:p w:rsidR="00C411A5" w:rsidRPr="00C411A5" w:rsidRDefault="00775FEE" w:rsidP="00C34DF4">
      <w:pPr>
        <w:bidi w:val="0"/>
        <w:ind w:left="1440" w:right="932"/>
        <w:rPr>
          <w:rFonts w:hint="cs"/>
          <w:rtl/>
        </w:rPr>
      </w:pPr>
      <w:r>
        <w:t>“</w:t>
      </w:r>
      <w:r w:rsidR="00C411A5">
        <w:t xml:space="preserve">…Once the merger transaction has been completed, both the reallocation of ownership and the reorganization of the post merger firm can produce significant problems of “unscrambling the egg”, as it is sometimes put.  </w:t>
      </w:r>
      <w:r w:rsidR="00C411A5">
        <w:rPr>
          <w:b/>
          <w:bCs/>
        </w:rPr>
        <w:t>For this reason the antitrust system encourages challenges to mergers before they occur</w:t>
      </w:r>
      <w:r w:rsidR="00C411A5">
        <w:t>.”</w:t>
      </w:r>
      <w:r w:rsidR="00C411A5">
        <w:rPr>
          <w:rStyle w:val="FootnoteReference"/>
        </w:rPr>
        <w:footnoteReference w:id="9"/>
      </w:r>
    </w:p>
    <w:p w:rsidR="007E35C6" w:rsidRDefault="00620582" w:rsidP="001F2104">
      <w:pPr>
        <w:spacing w:after="240"/>
        <w:ind w:left="34"/>
        <w:rPr>
          <w:rFonts w:hint="cs"/>
          <w:rtl/>
        </w:rPr>
      </w:pPr>
      <w:r>
        <w:rPr>
          <w:rFonts w:hint="cs"/>
          <w:rtl/>
        </w:rPr>
        <w:t xml:space="preserve">הפרתן של חובות </w:t>
      </w:r>
      <w:r w:rsidR="00FA33C2">
        <w:rPr>
          <w:rFonts w:hint="cs"/>
          <w:rtl/>
        </w:rPr>
        <w:t xml:space="preserve">הדיווח וההמתנה מסכלת את תכלית החקיקה וממילא מביאה </w:t>
      </w:r>
      <w:r w:rsidR="00FA33C2" w:rsidRPr="00F10BCE">
        <w:rPr>
          <w:rFonts w:hint="cs"/>
          <w:rtl/>
        </w:rPr>
        <w:t xml:space="preserve">להעתקת </w:t>
      </w:r>
      <w:r w:rsidR="007E35C6" w:rsidRPr="00F10BCE">
        <w:rPr>
          <w:rFonts w:hint="cs"/>
          <w:rtl/>
        </w:rPr>
        <w:t>מרכז הכובד של הפעלת שיקול הדעת ממישור מתן ההיתר למישור הטלת הסנקציה.</w:t>
      </w:r>
      <w:r w:rsidR="00387FB0">
        <w:rPr>
          <w:rFonts w:hint="cs"/>
          <w:rtl/>
        </w:rPr>
        <w:t xml:space="preserve"> </w:t>
      </w:r>
      <w:r w:rsidR="007E35C6" w:rsidRPr="00F10BCE">
        <w:rPr>
          <w:rFonts w:hint="cs"/>
          <w:rtl/>
        </w:rPr>
        <w:t xml:space="preserve">במילים אחרות, כאשר בוצע המיזוג </w:t>
      </w:r>
      <w:r w:rsidR="004A3696">
        <w:rPr>
          <w:rFonts w:hint="cs"/>
          <w:rtl/>
        </w:rPr>
        <w:t>ה</w:t>
      </w:r>
      <w:r w:rsidR="007E35C6" w:rsidRPr="00F10BCE">
        <w:rPr>
          <w:rFonts w:hint="cs"/>
          <w:rtl/>
        </w:rPr>
        <w:t>שאלה ה</w:t>
      </w:r>
      <w:r w:rsidR="004A3696">
        <w:rPr>
          <w:rFonts w:hint="cs"/>
          <w:rtl/>
        </w:rPr>
        <w:t>מעשית ה</w:t>
      </w:r>
      <w:r w:rsidR="007E35C6" w:rsidRPr="00F10BCE">
        <w:rPr>
          <w:rFonts w:hint="cs"/>
          <w:rtl/>
        </w:rPr>
        <w:t xml:space="preserve">עומדת </w:t>
      </w:r>
      <w:r w:rsidR="007847D8">
        <w:rPr>
          <w:rFonts w:hint="cs"/>
          <w:rtl/>
        </w:rPr>
        <w:t>בפני מערך הפיקוח</w:t>
      </w:r>
      <w:r w:rsidR="007E35C6" w:rsidRPr="00F10BCE">
        <w:rPr>
          <w:rFonts w:hint="cs"/>
          <w:rtl/>
        </w:rPr>
        <w:t xml:space="preserve"> </w:t>
      </w:r>
      <w:r w:rsidR="00C411A5">
        <w:rPr>
          <w:rFonts w:hint="cs"/>
          <w:rtl/>
        </w:rPr>
        <w:t xml:space="preserve">היא מה טיב </w:t>
      </w:r>
      <w:r w:rsidR="007E35C6" w:rsidRPr="00F10BCE">
        <w:rPr>
          <w:rFonts w:hint="cs"/>
          <w:rtl/>
        </w:rPr>
        <w:t>האמצעים שיש לנקוט כנגד הצדדים למיזוג בגין הפרת החוק</w:t>
      </w:r>
      <w:r w:rsidR="00C411A5">
        <w:rPr>
          <w:rFonts w:hint="cs"/>
          <w:rtl/>
        </w:rPr>
        <w:t>, בעוד שהשאלה אם להתיר את המיזוג מאבדת מ</w:t>
      </w:r>
      <w:r w:rsidR="00103A91">
        <w:rPr>
          <w:rFonts w:hint="cs"/>
          <w:rtl/>
        </w:rPr>
        <w:t xml:space="preserve">חשיבותה </w:t>
      </w:r>
      <w:r w:rsidR="00C411A5">
        <w:rPr>
          <w:rFonts w:hint="cs"/>
          <w:rtl/>
        </w:rPr>
        <w:t>(שהרי המיזוג כבר בוצע)</w:t>
      </w:r>
      <w:r w:rsidR="007E35C6" w:rsidRPr="00F10BCE">
        <w:rPr>
          <w:rFonts w:hint="cs"/>
          <w:rtl/>
        </w:rPr>
        <w:t xml:space="preserve">. ודוק, אין פירוש הדבר, כי בשלב זה נזנחת בדיקתו התחרותית של המיזוג. להשפעותיו התחרותיות של המיזוג משמעות לעניין </w:t>
      </w:r>
      <w:r w:rsidR="007E35C6" w:rsidRPr="00F10BCE">
        <w:rPr>
          <w:rFonts w:hint="cs"/>
          <w:b/>
          <w:bCs/>
          <w:rtl/>
        </w:rPr>
        <w:t>סוג הסעד</w:t>
      </w:r>
      <w:r w:rsidR="007E35C6" w:rsidRPr="00F10BCE">
        <w:rPr>
          <w:rFonts w:hint="cs"/>
          <w:rtl/>
        </w:rPr>
        <w:t xml:space="preserve"> שבו </w:t>
      </w:r>
      <w:r w:rsidR="0023546B">
        <w:rPr>
          <w:rFonts w:hint="cs"/>
          <w:rtl/>
        </w:rPr>
        <w:t>ת</w:t>
      </w:r>
      <w:r w:rsidR="0023546B" w:rsidRPr="00F10BCE">
        <w:rPr>
          <w:rFonts w:hint="cs"/>
          <w:rtl/>
        </w:rPr>
        <w:t xml:space="preserve">בחר </w:t>
      </w:r>
      <w:r w:rsidR="007E35C6" w:rsidRPr="00F10BCE">
        <w:rPr>
          <w:rFonts w:hint="cs"/>
          <w:rtl/>
        </w:rPr>
        <w:t xml:space="preserve">הממונה. כך למשל, </w:t>
      </w:r>
      <w:r w:rsidR="0023546B" w:rsidRPr="00F10BCE">
        <w:rPr>
          <w:rFonts w:hint="cs"/>
          <w:rtl/>
        </w:rPr>
        <w:t>סמכות</w:t>
      </w:r>
      <w:r w:rsidR="0023546B">
        <w:rPr>
          <w:rFonts w:hint="cs"/>
          <w:rtl/>
        </w:rPr>
        <w:t>ה</w:t>
      </w:r>
      <w:r w:rsidR="0023546B" w:rsidRPr="00F10BCE">
        <w:rPr>
          <w:rFonts w:hint="cs"/>
          <w:rtl/>
        </w:rPr>
        <w:t xml:space="preserve"> </w:t>
      </w:r>
      <w:r w:rsidR="007E35C6" w:rsidRPr="00F10BCE">
        <w:rPr>
          <w:rFonts w:hint="cs"/>
          <w:rtl/>
        </w:rPr>
        <w:t>של הממונה לדרוש את הפרדת החברות המתמזגות לפי סעיף 25 לחוק, קמה רק מקום בו מקים המיזוג "חשש סביר לפגיעה משמעותית בתחרות".</w:t>
      </w:r>
      <w:r w:rsidR="007E35C6">
        <w:rPr>
          <w:rFonts w:hint="cs"/>
          <w:rtl/>
        </w:rPr>
        <w:t xml:space="preserve"> </w:t>
      </w:r>
    </w:p>
    <w:p w:rsidR="004A3696" w:rsidRDefault="007E35C6" w:rsidP="00B52561">
      <w:pPr>
        <w:spacing w:after="240"/>
        <w:ind w:left="34"/>
        <w:rPr>
          <w:rFonts w:hint="cs"/>
          <w:rtl/>
        </w:rPr>
      </w:pPr>
      <w:r>
        <w:rPr>
          <w:rFonts w:hint="cs"/>
          <w:rtl/>
        </w:rPr>
        <w:t>הפרת חוב</w:t>
      </w:r>
      <w:r w:rsidR="008B2AA6">
        <w:rPr>
          <w:rFonts w:hint="cs"/>
          <w:rtl/>
        </w:rPr>
        <w:t>ו</w:t>
      </w:r>
      <w:r>
        <w:rPr>
          <w:rFonts w:hint="cs"/>
          <w:rtl/>
        </w:rPr>
        <w:t xml:space="preserve">ת הדיווח וחובת ההמתנה, הקרויה במקומותינו "מיזוג בפועל", אף עשויה להביא (ואומנם הביאה) לנקיטת הליכים פליליים, וזאת לצד נקיטה על ידי הממונה </w:t>
      </w:r>
      <w:r w:rsidR="0023546B">
        <w:rPr>
          <w:rFonts w:hint="cs"/>
          <w:rtl/>
        </w:rPr>
        <w:t xml:space="preserve">בסעד </w:t>
      </w:r>
      <w:r>
        <w:rPr>
          <w:rFonts w:hint="cs"/>
          <w:rtl/>
        </w:rPr>
        <w:t>אזרחי של בקשה להפרדת חברות.</w:t>
      </w:r>
      <w:r w:rsidR="00076383">
        <w:rPr>
          <w:rStyle w:val="FootnoteReference"/>
          <w:rtl/>
        </w:rPr>
        <w:footnoteReference w:id="10"/>
      </w:r>
      <w:r>
        <w:rPr>
          <w:rFonts w:hint="cs"/>
          <w:rtl/>
        </w:rPr>
        <w:t xml:space="preserve"> בפרשת </w:t>
      </w:r>
      <w:r>
        <w:rPr>
          <w:rFonts w:hint="cs"/>
          <w:b/>
          <w:bCs/>
          <w:rtl/>
        </w:rPr>
        <w:t>כרמיפלס</w:t>
      </w:r>
      <w:r>
        <w:rPr>
          <w:rFonts w:hint="cs"/>
          <w:rtl/>
        </w:rPr>
        <w:t xml:space="preserve"> ובפרשת </w:t>
      </w:r>
      <w:r>
        <w:rPr>
          <w:rFonts w:hint="cs"/>
          <w:b/>
          <w:bCs/>
          <w:rtl/>
        </w:rPr>
        <w:t>אופק-אירופן</w:t>
      </w:r>
      <w:r>
        <w:rPr>
          <w:rFonts w:hint="cs"/>
          <w:rtl/>
        </w:rPr>
        <w:t xml:space="preserve"> נקטה הרשות בהליכים פליליים נגד חברות שהפרו את חובת ההמתנה וחובת הדיווח.</w:t>
      </w:r>
      <w:r w:rsidR="00387FB0">
        <w:rPr>
          <w:rFonts w:hint="cs"/>
          <w:rtl/>
        </w:rPr>
        <w:t xml:space="preserve"> </w:t>
      </w:r>
      <w:r>
        <w:rPr>
          <w:rFonts w:hint="cs"/>
          <w:rtl/>
        </w:rPr>
        <w:t xml:space="preserve">גם בארה"ב פועלת הרשות באופן נחרץ וחד משמעי כנגד הפרות של חובת ההמתנה הקבועה בדין האמריקאי (הפרות אלה זוכות שם לכינוי  </w:t>
      </w:r>
      <w:r>
        <w:rPr>
          <w:rtl/>
        </w:rPr>
        <w:t>“</w:t>
      </w:r>
      <w:r>
        <w:t>Gun Jumping</w:t>
      </w:r>
      <w:r>
        <w:rPr>
          <w:rtl/>
        </w:rPr>
        <w:t>”</w:t>
      </w:r>
      <w:r w:rsidR="00775FEE" w:rsidRPr="00775FEE">
        <w:rPr>
          <w:rFonts w:hint="cs"/>
          <w:rtl/>
        </w:rPr>
        <w:t xml:space="preserve"> </w:t>
      </w:r>
      <w:r w:rsidR="00775FEE">
        <w:rPr>
          <w:rFonts w:hint="cs"/>
          <w:rtl/>
        </w:rPr>
        <w:t>)</w:t>
      </w:r>
      <w:r>
        <w:rPr>
          <w:rFonts w:hint="cs"/>
          <w:rtl/>
        </w:rPr>
        <w:t xml:space="preserve">.  </w:t>
      </w:r>
    </w:p>
    <w:p w:rsidR="007847D8" w:rsidRPr="008F76DA" w:rsidRDefault="007847D8" w:rsidP="008F76DA">
      <w:pPr>
        <w:pStyle w:val="Heading2"/>
        <w:rPr>
          <w:rFonts w:cs="David" w:hint="cs"/>
          <w:i w:val="0"/>
          <w:iCs w:val="0"/>
        </w:rPr>
      </w:pPr>
      <w:bookmarkStart w:id="6" w:name="_Toc151956802"/>
      <w:r w:rsidRPr="008F76DA">
        <w:rPr>
          <w:rFonts w:cs="David" w:hint="cs"/>
          <w:i w:val="0"/>
          <w:iCs w:val="0"/>
          <w:rtl/>
        </w:rPr>
        <w:t xml:space="preserve">ב.2. </w:t>
      </w:r>
      <w:r w:rsidR="007E35C6" w:rsidRPr="008F76DA">
        <w:rPr>
          <w:rFonts w:cs="David" w:hint="cs"/>
          <w:i w:val="0"/>
          <w:iCs w:val="0"/>
          <w:rtl/>
        </w:rPr>
        <w:t>מה נחשב למעשה של "מיזוג בפועל"?</w:t>
      </w:r>
      <w:bookmarkEnd w:id="6"/>
      <w:r w:rsidR="007E35C6" w:rsidRPr="008F76DA">
        <w:rPr>
          <w:rFonts w:cs="David" w:hint="cs"/>
          <w:i w:val="0"/>
          <w:iCs w:val="0"/>
          <w:rtl/>
        </w:rPr>
        <w:t xml:space="preserve"> </w:t>
      </w:r>
    </w:p>
    <w:p w:rsidR="007E35C6" w:rsidRDefault="007E35C6" w:rsidP="00B52561">
      <w:pPr>
        <w:spacing w:after="240"/>
        <w:ind w:left="34"/>
        <w:rPr>
          <w:rFonts w:hint="cs"/>
          <w:rtl/>
        </w:rPr>
      </w:pPr>
      <w:r>
        <w:rPr>
          <w:rFonts w:hint="cs"/>
          <w:rtl/>
        </w:rPr>
        <w:t xml:space="preserve">האיסור החל הוא על כל מעשה שיש בו משום הקניית דריסת רגל לרוכש בעסק הנרכש, איחוד מלא או חלקי של פעילות או אקט הצפוי להשפיע השפעה ממשית על התנהלות התאגיד הנרכש. </w:t>
      </w:r>
      <w:r w:rsidR="00C70BE5">
        <w:rPr>
          <w:rFonts w:hint="cs"/>
          <w:rtl/>
        </w:rPr>
        <w:t xml:space="preserve">בין אלה: </w:t>
      </w:r>
      <w:r w:rsidR="00FC61CA">
        <w:rPr>
          <w:rFonts w:hint="cs"/>
          <w:rtl/>
        </w:rPr>
        <w:t>העברת התמורה למוכר או עבורו; העברת ניירות הערך לרוכש או למי מטעמו; העברת הסיכון הכלכלי הכרוך בהחזקה בניירות הערך; העברת הזכות להנאה מעליית שוויו של התאגיד; העברת כוח ההצבעה באסיפה הכללית של התאגיד; מינוי נושאי משרה בתאגיד, והכל בין להלכה ובין למעשה</w:t>
      </w:r>
      <w:r w:rsidR="00620582">
        <w:rPr>
          <w:rFonts w:hint="cs"/>
          <w:rtl/>
        </w:rPr>
        <w:t>.</w:t>
      </w:r>
      <w:r w:rsidR="0070361C">
        <w:rPr>
          <w:rStyle w:val="FootnoteReference"/>
          <w:rtl/>
        </w:rPr>
        <w:footnoteReference w:id="11"/>
      </w:r>
      <w:r w:rsidR="00620582">
        <w:rPr>
          <w:rFonts w:hint="cs"/>
          <w:rtl/>
        </w:rPr>
        <w:t xml:space="preserve"> דוגמאות מוחשיות לכך מצויות במקרים הבאים: </w:t>
      </w:r>
    </w:p>
    <w:p w:rsidR="007E35C6" w:rsidRDefault="007E35C6" w:rsidP="00B52561">
      <w:pPr>
        <w:numPr>
          <w:ilvl w:val="0"/>
          <w:numId w:val="14"/>
        </w:numPr>
        <w:spacing w:after="240"/>
        <w:ind w:left="34" w:right="0" w:firstLine="0"/>
        <w:rPr>
          <w:rFonts w:hint="cs"/>
        </w:rPr>
      </w:pPr>
      <w:r>
        <w:rPr>
          <w:rFonts w:hint="cs"/>
          <w:rtl/>
        </w:rPr>
        <w:t>ב</w:t>
      </w:r>
      <w:r>
        <w:rPr>
          <w:rFonts w:hint="cs"/>
          <w:b/>
          <w:bCs/>
          <w:rtl/>
        </w:rPr>
        <w:t>פרשת צובר גולקל</w:t>
      </w:r>
      <w:r>
        <w:rPr>
          <w:rFonts w:hint="cs"/>
          <w:rtl/>
        </w:rPr>
        <w:t xml:space="preserve"> </w:t>
      </w:r>
      <w:r>
        <w:rPr>
          <w:rtl/>
        </w:rPr>
        <w:t>–</w:t>
      </w:r>
      <w:r>
        <w:rPr>
          <w:rFonts w:hint="cs"/>
          <w:rtl/>
        </w:rPr>
        <w:t xml:space="preserve"> נקבע כי נעשה מיזוג בפועל על ידי העברת המניות הנרכשות וניהול החברה לידי נאמנים </w:t>
      </w:r>
      <w:r w:rsidR="008B2AA6">
        <w:rPr>
          <w:rFonts w:hint="cs"/>
          <w:rtl/>
        </w:rPr>
        <w:t xml:space="preserve">אשר </w:t>
      </w:r>
      <w:r>
        <w:rPr>
          <w:rFonts w:hint="cs"/>
          <w:rtl/>
        </w:rPr>
        <w:t xml:space="preserve">היו </w:t>
      </w:r>
      <w:r w:rsidR="008B2AA6">
        <w:rPr>
          <w:rFonts w:hint="cs"/>
          <w:rtl/>
        </w:rPr>
        <w:t xml:space="preserve">הלכה </w:t>
      </w:r>
      <w:r>
        <w:rPr>
          <w:rFonts w:hint="cs"/>
          <w:rtl/>
        </w:rPr>
        <w:t>למעשה בעלי השליטה בתאגיד הרוכש;</w:t>
      </w:r>
    </w:p>
    <w:p w:rsidR="007E35C6" w:rsidRDefault="007E35C6" w:rsidP="00B52561">
      <w:pPr>
        <w:numPr>
          <w:ilvl w:val="0"/>
          <w:numId w:val="14"/>
        </w:numPr>
        <w:spacing w:after="240"/>
        <w:ind w:left="34" w:right="0" w:firstLine="0"/>
        <w:rPr>
          <w:rFonts w:hint="cs"/>
        </w:rPr>
      </w:pPr>
      <w:r>
        <w:rPr>
          <w:rFonts w:hint="cs"/>
          <w:rtl/>
        </w:rPr>
        <w:t>ב</w:t>
      </w:r>
      <w:r>
        <w:rPr>
          <w:rFonts w:hint="cs"/>
          <w:b/>
          <w:bCs/>
          <w:rtl/>
        </w:rPr>
        <w:t>פרשת ערוצי זהב</w:t>
      </w:r>
      <w:r>
        <w:rPr>
          <w:rFonts w:hint="cs"/>
          <w:rtl/>
        </w:rPr>
        <w:t xml:space="preserve"> </w:t>
      </w:r>
      <w:r>
        <w:rPr>
          <w:rtl/>
        </w:rPr>
        <w:t>–</w:t>
      </w:r>
      <w:r>
        <w:rPr>
          <w:rFonts w:hint="cs"/>
          <w:rtl/>
        </w:rPr>
        <w:t xml:space="preserve"> קבע הסכם הרכישה כי התמורה עבור המניות תועבר לאלתר</w:t>
      </w:r>
      <w:r w:rsidR="0070361C">
        <w:rPr>
          <w:rFonts w:hint="cs"/>
          <w:rtl/>
        </w:rPr>
        <w:t>,</w:t>
      </w:r>
      <w:r>
        <w:rPr>
          <w:rFonts w:hint="cs"/>
          <w:rtl/>
        </w:rPr>
        <w:t xml:space="preserve"> טרם החלטת הממונה</w:t>
      </w:r>
      <w:r w:rsidR="0070361C">
        <w:rPr>
          <w:rFonts w:hint="cs"/>
          <w:rtl/>
        </w:rPr>
        <w:t>,</w:t>
      </w:r>
      <w:r>
        <w:rPr>
          <w:rFonts w:hint="cs"/>
          <w:rtl/>
        </w:rPr>
        <w:t xml:space="preserve"> וכי גם אם הממונה יתנגד לעסקה </w:t>
      </w:r>
      <w:r>
        <w:rPr>
          <w:rtl/>
        </w:rPr>
        <w:t>–</w:t>
      </w:r>
      <w:r>
        <w:rPr>
          <w:rFonts w:hint="cs"/>
          <w:rtl/>
        </w:rPr>
        <w:t xml:space="preserve"> היא לא תושב, אלא הרוכש יהא אחראי למכירת המניו</w:t>
      </w:r>
      <w:r w:rsidR="005B3518">
        <w:rPr>
          <w:rFonts w:hint="cs"/>
          <w:rtl/>
        </w:rPr>
        <w:t>ת הלאה</w:t>
      </w:r>
      <w:r w:rsidR="008B2AA6">
        <w:rPr>
          <w:rFonts w:hint="cs"/>
          <w:rtl/>
        </w:rPr>
        <w:t>, תוך שהוא נושא בסיכון ובסיכוי בגין שינוי בערך המניות.</w:t>
      </w:r>
      <w:r w:rsidR="005B3518">
        <w:rPr>
          <w:rFonts w:hint="cs"/>
          <w:rtl/>
        </w:rPr>
        <w:t xml:space="preserve"> בנוסף, </w:t>
      </w:r>
      <w:r>
        <w:rPr>
          <w:rFonts w:hint="cs"/>
          <w:rtl/>
        </w:rPr>
        <w:t xml:space="preserve">נקבע כי לתקופה לא קצובה יימנעו בעלי המניות מלחלק דיבידנד בחברה. </w:t>
      </w:r>
      <w:r w:rsidR="00C45BDC">
        <w:rPr>
          <w:rFonts w:hint="cs"/>
          <w:rtl/>
        </w:rPr>
        <w:t xml:space="preserve">הממונה סבר </w:t>
      </w:r>
      <w:r>
        <w:rPr>
          <w:rFonts w:hint="cs"/>
          <w:rtl/>
        </w:rPr>
        <w:t>שהצבר הדברים יצר מיזוג בפועל</w:t>
      </w:r>
      <w:r w:rsidR="00C45BDC">
        <w:rPr>
          <w:rFonts w:hint="cs"/>
          <w:rtl/>
        </w:rPr>
        <w:t>.</w:t>
      </w:r>
      <w:r w:rsidR="00C45BDC">
        <w:rPr>
          <w:rStyle w:val="FootnoteReference"/>
          <w:rtl/>
        </w:rPr>
        <w:footnoteReference w:id="12"/>
      </w:r>
    </w:p>
    <w:p w:rsidR="007E35C6" w:rsidRDefault="007E35C6" w:rsidP="00B52561">
      <w:pPr>
        <w:numPr>
          <w:ilvl w:val="0"/>
          <w:numId w:val="14"/>
        </w:numPr>
        <w:spacing w:after="240"/>
        <w:ind w:left="34" w:right="0" w:firstLine="0"/>
        <w:rPr>
          <w:rFonts w:hint="cs"/>
        </w:rPr>
      </w:pPr>
      <w:r>
        <w:rPr>
          <w:rFonts w:hint="cs"/>
          <w:rtl/>
        </w:rPr>
        <w:t>ב</w:t>
      </w:r>
      <w:r>
        <w:rPr>
          <w:rFonts w:hint="cs"/>
          <w:b/>
          <w:bCs/>
          <w:rtl/>
        </w:rPr>
        <w:t>תיקי פירוק</w:t>
      </w:r>
      <w:r>
        <w:rPr>
          <w:rFonts w:hint="cs"/>
          <w:rtl/>
        </w:rPr>
        <w:t xml:space="preserve"> נהוג כי המפרק מבקש מגורמים המתעניינים ברכישה להזרים כסף לקופת החברה עימה הם מבקשים להתמזג. </w:t>
      </w:r>
      <w:r w:rsidR="00103A91">
        <w:rPr>
          <w:rFonts w:hint="cs"/>
          <w:rtl/>
        </w:rPr>
        <w:t xml:space="preserve">הזרמת הכספים כרוכה, על פי רוב, בפיקוח הגורם המממן על השימוש בכספים המוזרמים. </w:t>
      </w:r>
      <w:r>
        <w:rPr>
          <w:rFonts w:hint="cs"/>
          <w:rtl/>
        </w:rPr>
        <w:t xml:space="preserve">פעולות אלו חייבות באישור מוקדם של הממונה, הואיל והזרמת הכספים </w:t>
      </w:r>
      <w:r w:rsidR="00103A91">
        <w:rPr>
          <w:rFonts w:hint="cs"/>
          <w:rtl/>
        </w:rPr>
        <w:t xml:space="preserve">(על הזכויות הנלוות לה) </w:t>
      </w:r>
      <w:r w:rsidR="004A16D8">
        <w:rPr>
          <w:rFonts w:hint="cs"/>
          <w:rtl/>
        </w:rPr>
        <w:t xml:space="preserve">עשויה להשפיע על התנהגותו התחרותית של העסק בפירוק, כמו גם </w:t>
      </w:r>
      <w:r w:rsidR="00E3557B">
        <w:rPr>
          <w:rFonts w:hint="cs"/>
          <w:rtl/>
        </w:rPr>
        <w:t>על התנהגות הגורם המממן. יצירת זיקת השפעה זו מצריכה אישור מוקדם של הממונה על הגבלים עסקיים</w:t>
      </w:r>
      <w:r>
        <w:rPr>
          <w:rFonts w:hint="cs"/>
          <w:rtl/>
        </w:rPr>
        <w:t>.</w:t>
      </w:r>
      <w:r>
        <w:rPr>
          <w:rStyle w:val="FootnoteReference"/>
          <w:rtl/>
        </w:rPr>
        <w:footnoteReference w:id="13"/>
      </w:r>
      <w:r>
        <w:rPr>
          <w:rFonts w:hint="cs"/>
          <w:rtl/>
        </w:rPr>
        <w:t xml:space="preserve"> </w:t>
      </w:r>
    </w:p>
    <w:p w:rsidR="007E35C6" w:rsidRDefault="007E35C6" w:rsidP="009E4BD8">
      <w:pPr>
        <w:spacing w:after="240"/>
        <w:ind w:left="34"/>
        <w:rPr>
          <w:rFonts w:hint="cs"/>
          <w:rtl/>
        </w:rPr>
      </w:pPr>
      <w:r>
        <w:rPr>
          <w:rFonts w:hint="cs"/>
          <w:rtl/>
        </w:rPr>
        <w:t>ככלל, בעוד שבמסגרת חובת ה</w:t>
      </w:r>
      <w:r w:rsidR="009E4BD8">
        <w:rPr>
          <w:rFonts w:hint="cs"/>
          <w:rtl/>
        </w:rPr>
        <w:t xml:space="preserve">דיווח המוקדם </w:t>
      </w:r>
      <w:r>
        <w:rPr>
          <w:rFonts w:hint="cs"/>
          <w:rtl/>
        </w:rPr>
        <w:t xml:space="preserve">וחובת ההמתנה חל איסור על הזרמת כספים ועל מינוי מנהלים (יהא תוארם אשר יהא) בתאגיד הנרכש על ידי רוכש פוטנציאלי, הרי שאין איסור על העברת המניות וכספי התמורה לנאמן חיצוני, כל עוד לא </w:t>
      </w:r>
      <w:r w:rsidR="008B2AA6">
        <w:rPr>
          <w:rFonts w:hint="cs"/>
          <w:rtl/>
        </w:rPr>
        <w:t xml:space="preserve">נלוות </w:t>
      </w:r>
      <w:r>
        <w:rPr>
          <w:rFonts w:hint="cs"/>
          <w:rtl/>
        </w:rPr>
        <w:t xml:space="preserve">לכך זכויות נוספות הניתנות לרוכש המבקש להתמזג עם התאגיד הנרכש וכל עוד </w:t>
      </w:r>
      <w:r w:rsidR="001A3602">
        <w:rPr>
          <w:rFonts w:hint="cs"/>
          <w:rtl/>
        </w:rPr>
        <w:t xml:space="preserve">מתכונת הנאמנות יוצרת </w:t>
      </w:r>
      <w:r w:rsidR="001A3602" w:rsidRPr="001A3602">
        <w:rPr>
          <w:rFonts w:hint="cs"/>
          <w:b/>
          <w:bCs/>
          <w:rtl/>
        </w:rPr>
        <w:t>חיץ מלא ואמיתי</w:t>
      </w:r>
      <w:r w:rsidR="001A3602">
        <w:rPr>
          <w:rFonts w:hint="cs"/>
          <w:rtl/>
        </w:rPr>
        <w:t xml:space="preserve"> בין הזכויות המועברות לבין הרוכש ולא קמה לרוכש, בפועל, מכוח הנאמנות, זיקה למניות המועברות</w:t>
      </w:r>
      <w:r>
        <w:rPr>
          <w:rFonts w:hint="cs"/>
          <w:sz w:val="18"/>
          <w:szCs w:val="18"/>
          <w:rtl/>
        </w:rPr>
        <w:t>.</w:t>
      </w:r>
      <w:r w:rsidR="001A3602">
        <w:rPr>
          <w:rStyle w:val="FootnoteReference"/>
          <w:rtl/>
        </w:rPr>
        <w:footnoteReference w:id="14"/>
      </w:r>
    </w:p>
    <w:p w:rsidR="00E3557B" w:rsidRPr="008F76DA" w:rsidRDefault="00E3557B" w:rsidP="008F76DA">
      <w:pPr>
        <w:pStyle w:val="Heading2"/>
        <w:rPr>
          <w:rFonts w:cs="David" w:hint="cs"/>
          <w:i w:val="0"/>
          <w:iCs w:val="0"/>
          <w:rtl/>
        </w:rPr>
      </w:pPr>
      <w:bookmarkStart w:id="7" w:name="_Toc151956803"/>
      <w:r w:rsidRPr="008F76DA">
        <w:rPr>
          <w:rFonts w:cs="David" w:hint="cs"/>
          <w:i w:val="0"/>
          <w:iCs w:val="0"/>
          <w:rtl/>
        </w:rPr>
        <w:t>ב.</w:t>
      </w:r>
      <w:r w:rsidR="00B52561" w:rsidRPr="008F76DA">
        <w:rPr>
          <w:rFonts w:cs="David" w:hint="cs"/>
          <w:i w:val="0"/>
          <w:iCs w:val="0"/>
          <w:rtl/>
        </w:rPr>
        <w:t>3.</w:t>
      </w:r>
      <w:r w:rsidRPr="008F76DA">
        <w:rPr>
          <w:rFonts w:cs="David" w:hint="cs"/>
          <w:i w:val="0"/>
          <w:iCs w:val="0"/>
          <w:rtl/>
        </w:rPr>
        <w:t xml:space="preserve"> מועד הדיווח על רכישת </w:t>
      </w:r>
      <w:r w:rsidR="00E858DB" w:rsidRPr="008F76DA">
        <w:rPr>
          <w:rFonts w:cs="David" w:hint="cs"/>
          <w:i w:val="0"/>
          <w:iCs w:val="0"/>
          <w:rtl/>
        </w:rPr>
        <w:t>מניות ו</w:t>
      </w:r>
      <w:r w:rsidRPr="008F76DA">
        <w:rPr>
          <w:rFonts w:cs="David" w:hint="cs"/>
          <w:i w:val="0"/>
          <w:iCs w:val="0"/>
          <w:rtl/>
        </w:rPr>
        <w:t>אופציות</w:t>
      </w:r>
      <w:bookmarkEnd w:id="7"/>
      <w:r w:rsidRPr="008F76DA">
        <w:rPr>
          <w:rFonts w:cs="David" w:hint="cs"/>
          <w:i w:val="0"/>
          <w:iCs w:val="0"/>
          <w:rtl/>
        </w:rPr>
        <w:t xml:space="preserve"> </w:t>
      </w:r>
    </w:p>
    <w:p w:rsidR="00E858DB" w:rsidRDefault="00E3557B" w:rsidP="00B52561">
      <w:pPr>
        <w:spacing w:after="240"/>
        <w:ind w:left="34"/>
        <w:rPr>
          <w:rFonts w:hint="cs"/>
          <w:rtl/>
        </w:rPr>
      </w:pPr>
      <w:r>
        <w:rPr>
          <w:rFonts w:hint="cs"/>
          <w:rtl/>
        </w:rPr>
        <w:t xml:space="preserve">כפי שהוסבר לעיל, </w:t>
      </w:r>
      <w:r w:rsidR="00A40CED">
        <w:rPr>
          <w:rFonts w:hint="cs"/>
          <w:rtl/>
        </w:rPr>
        <w:t xml:space="preserve">עסקאות מיזוג שכפופות לפיקוח מערך ההגבלים העסקיים טעונות דיווח מוקדם לממונה על הגבלים עסקיים וחל איסור על הוצאתן לפועל, טרם שהתקבל אישור הממונה לכך. </w:t>
      </w:r>
      <w:r w:rsidR="00E858DB">
        <w:rPr>
          <w:rFonts w:hint="cs"/>
          <w:rtl/>
        </w:rPr>
        <w:t xml:space="preserve">אישור זה </w:t>
      </w:r>
      <w:r w:rsidR="00E858DB" w:rsidRPr="00E858DB">
        <w:rPr>
          <w:rFonts w:hint="cs"/>
          <w:b/>
          <w:bCs/>
          <w:u w:val="single"/>
          <w:rtl/>
        </w:rPr>
        <w:t>ניתן לבקש</w:t>
      </w:r>
      <w:r w:rsidR="00E858DB">
        <w:rPr>
          <w:rFonts w:hint="cs"/>
          <w:rtl/>
        </w:rPr>
        <w:t xml:space="preserve"> משעה שההתקשרות בעסקת המיזוג לבשה צורה קונקרטית ומוגמרת, בדמות של הסכם מיזוג.</w:t>
      </w:r>
      <w:r w:rsidR="00E858DB">
        <w:rPr>
          <w:rStyle w:val="FootnoteReference"/>
          <w:rtl/>
        </w:rPr>
        <w:footnoteReference w:id="15"/>
      </w:r>
      <w:r w:rsidR="00E858DB">
        <w:rPr>
          <w:rFonts w:hint="cs"/>
          <w:rtl/>
        </w:rPr>
        <w:t xml:space="preserve">  אישור זה </w:t>
      </w:r>
      <w:r w:rsidR="00E858DB" w:rsidRPr="00E858DB">
        <w:rPr>
          <w:rFonts w:hint="cs"/>
          <w:b/>
          <w:bCs/>
          <w:u w:val="single"/>
          <w:rtl/>
        </w:rPr>
        <w:t>חובה לבקש</w:t>
      </w:r>
      <w:r w:rsidR="00E858DB">
        <w:rPr>
          <w:rFonts w:hint="cs"/>
          <w:rtl/>
        </w:rPr>
        <w:t xml:space="preserve">, לפני התחלת ביצועו של המיזוג. </w:t>
      </w:r>
      <w:r w:rsidR="00B10915">
        <w:rPr>
          <w:rFonts w:hint="cs"/>
          <w:rtl/>
        </w:rPr>
        <w:t xml:space="preserve"> </w:t>
      </w:r>
      <w:r w:rsidR="00A40CED">
        <w:rPr>
          <w:rFonts w:hint="cs"/>
          <w:rtl/>
        </w:rPr>
        <w:t xml:space="preserve"> </w:t>
      </w:r>
    </w:p>
    <w:p w:rsidR="00B10915" w:rsidRDefault="00B10915" w:rsidP="009E4BD8">
      <w:pPr>
        <w:spacing w:after="240"/>
        <w:ind w:left="34"/>
        <w:rPr>
          <w:rFonts w:hint="cs"/>
          <w:rtl/>
        </w:rPr>
      </w:pPr>
      <w:r>
        <w:rPr>
          <w:rFonts w:hint="cs"/>
          <w:rtl/>
        </w:rPr>
        <w:t xml:space="preserve">במהלך השנים נתקלה הרשות בשאלות רבות הנוגעות למועד המחייב להגשת הודעות מיזוג בגין </w:t>
      </w:r>
      <w:r w:rsidRPr="00103A91">
        <w:rPr>
          <w:rFonts w:hint="cs"/>
          <w:b/>
          <w:bCs/>
          <w:rtl/>
        </w:rPr>
        <w:t xml:space="preserve">אופציות לרכישת (או מכירת) </w:t>
      </w:r>
      <w:r w:rsidR="00F93C42">
        <w:rPr>
          <w:rFonts w:hint="cs"/>
          <w:b/>
          <w:bCs/>
          <w:rtl/>
        </w:rPr>
        <w:t>זכויות</w:t>
      </w:r>
      <w:r w:rsidRPr="00103A91">
        <w:rPr>
          <w:rFonts w:hint="cs"/>
          <w:b/>
          <w:bCs/>
          <w:rtl/>
        </w:rPr>
        <w:t xml:space="preserve"> בתאגיד</w:t>
      </w:r>
      <w:r>
        <w:rPr>
          <w:rFonts w:hint="cs"/>
          <w:rtl/>
        </w:rPr>
        <w:t>.</w:t>
      </w:r>
      <w:r w:rsidR="00F93C42">
        <w:rPr>
          <w:rStyle w:val="FootnoteReference"/>
          <w:rtl/>
        </w:rPr>
        <w:footnoteReference w:id="16"/>
      </w:r>
      <w:r>
        <w:rPr>
          <w:rFonts w:hint="cs"/>
          <w:rtl/>
        </w:rPr>
        <w:t xml:space="preserve"> השאלה העיקרית </w:t>
      </w:r>
      <w:r w:rsidR="00103A91">
        <w:rPr>
          <w:rFonts w:hint="cs"/>
          <w:rtl/>
        </w:rPr>
        <w:t>המועלית בהקשר זה, היא האם חוב</w:t>
      </w:r>
      <w:r w:rsidR="009E4BD8">
        <w:rPr>
          <w:rFonts w:hint="cs"/>
          <w:rtl/>
        </w:rPr>
        <w:t>ו</w:t>
      </w:r>
      <w:r w:rsidR="00103A91">
        <w:rPr>
          <w:rFonts w:hint="cs"/>
          <w:rtl/>
        </w:rPr>
        <w:t xml:space="preserve">ת </w:t>
      </w:r>
      <w:r w:rsidR="009E4BD8">
        <w:rPr>
          <w:rFonts w:hint="cs"/>
          <w:rtl/>
        </w:rPr>
        <w:t>ה</w:t>
      </w:r>
      <w:r w:rsidR="00103A91">
        <w:rPr>
          <w:rFonts w:hint="cs"/>
          <w:rtl/>
        </w:rPr>
        <w:t xml:space="preserve">דיווח </w:t>
      </w:r>
      <w:r w:rsidR="009E4BD8">
        <w:rPr>
          <w:rFonts w:hint="cs"/>
          <w:rtl/>
        </w:rPr>
        <w:t xml:space="preserve">המוקדם וההמתנה קמות </w:t>
      </w:r>
      <w:r w:rsidR="00103A91">
        <w:rPr>
          <w:rFonts w:hint="cs"/>
          <w:rtl/>
        </w:rPr>
        <w:t>בעת מימושן של האופציות או שמא כבר בעת הקנייתן של האופציות.</w:t>
      </w:r>
      <w:r w:rsidR="009D18A9">
        <w:rPr>
          <w:rStyle w:val="FootnoteReference"/>
          <w:rtl/>
        </w:rPr>
        <w:footnoteReference w:id="17"/>
      </w:r>
      <w:r w:rsidR="00103A91">
        <w:rPr>
          <w:rFonts w:hint="cs"/>
          <w:rtl/>
        </w:rPr>
        <w:t xml:space="preserve"> </w:t>
      </w:r>
      <w:r>
        <w:rPr>
          <w:rFonts w:hint="cs"/>
          <w:rtl/>
        </w:rPr>
        <w:t xml:space="preserve"> </w:t>
      </w:r>
    </w:p>
    <w:p w:rsidR="0098636B" w:rsidRDefault="00B10915" w:rsidP="00B52561">
      <w:pPr>
        <w:spacing w:after="240"/>
        <w:ind w:left="34"/>
        <w:rPr>
          <w:rFonts w:hint="cs"/>
          <w:rtl/>
        </w:rPr>
      </w:pPr>
      <w:r>
        <w:rPr>
          <w:rFonts w:hint="cs"/>
          <w:rtl/>
        </w:rPr>
        <w:t xml:space="preserve">הכלל </w:t>
      </w:r>
      <w:r w:rsidR="00E858DB">
        <w:rPr>
          <w:rFonts w:hint="cs"/>
          <w:rtl/>
        </w:rPr>
        <w:t xml:space="preserve">הנקוט בידי הרשות הוא, כי ככלל המועד הנכון והמחייב לדווח על אופציות הוא </w:t>
      </w:r>
      <w:r w:rsidR="00E858DB" w:rsidRPr="00B10915">
        <w:rPr>
          <w:rFonts w:hint="cs"/>
          <w:b/>
          <w:bCs/>
          <w:rtl/>
        </w:rPr>
        <w:t>לעת מימושן</w:t>
      </w:r>
      <w:r w:rsidR="00E858DB">
        <w:rPr>
          <w:rFonts w:hint="cs"/>
          <w:rtl/>
        </w:rPr>
        <w:t xml:space="preserve">. רוצה לומר, </w:t>
      </w:r>
      <w:r w:rsidR="0098636B">
        <w:rPr>
          <w:rFonts w:hint="cs"/>
          <w:rtl/>
        </w:rPr>
        <w:t>חל איסור על מימושן של האופציות טרם שניתן לכך אישור הממונה</w:t>
      </w:r>
      <w:r w:rsidR="00A10BBA">
        <w:rPr>
          <w:rFonts w:hint="cs"/>
          <w:rtl/>
        </w:rPr>
        <w:t>,</w:t>
      </w:r>
      <w:r w:rsidR="0098636B">
        <w:rPr>
          <w:rFonts w:hint="cs"/>
          <w:rtl/>
        </w:rPr>
        <w:t xml:space="preserve"> אולם </w:t>
      </w:r>
      <w:r w:rsidR="000E3A35">
        <w:rPr>
          <w:rFonts w:hint="cs"/>
          <w:rtl/>
        </w:rPr>
        <w:t xml:space="preserve">הקנייתן של האופציות אינה טעונה, בפני עצמה, אישור מוקדם. </w:t>
      </w:r>
      <w:r>
        <w:rPr>
          <w:rFonts w:hint="cs"/>
          <w:rtl/>
        </w:rPr>
        <w:t xml:space="preserve">על פי כלל זה, המועד הנכון להגשת הדיווח הוא כאשר התגבשה </w:t>
      </w:r>
      <w:r w:rsidR="0098636B">
        <w:rPr>
          <w:rFonts w:hint="cs"/>
          <w:rtl/>
        </w:rPr>
        <w:t xml:space="preserve">כוונה </w:t>
      </w:r>
      <w:r w:rsidR="00E858DB">
        <w:rPr>
          <w:rFonts w:hint="cs"/>
          <w:rtl/>
        </w:rPr>
        <w:t xml:space="preserve">קונקרטית </w:t>
      </w:r>
      <w:r w:rsidR="0098636B">
        <w:rPr>
          <w:rFonts w:hint="cs"/>
          <w:rtl/>
        </w:rPr>
        <w:t xml:space="preserve">בידי בעל האופציות לממשן בזמן קרוב </w:t>
      </w:r>
      <w:r w:rsidR="00E858DB">
        <w:rPr>
          <w:rFonts w:hint="cs"/>
          <w:rtl/>
        </w:rPr>
        <w:t>(</w:t>
      </w:r>
      <w:r w:rsidR="0098636B">
        <w:rPr>
          <w:rFonts w:hint="cs"/>
          <w:rtl/>
        </w:rPr>
        <w:t xml:space="preserve">ובהנחה שקיימת לבעל האופציה הזכות החוזית </w:t>
      </w:r>
      <w:r w:rsidR="00E858DB">
        <w:rPr>
          <w:rFonts w:hint="cs"/>
          <w:rtl/>
        </w:rPr>
        <w:t>ל</w:t>
      </w:r>
      <w:r w:rsidR="0098636B">
        <w:rPr>
          <w:rFonts w:hint="cs"/>
          <w:rtl/>
        </w:rPr>
        <w:t xml:space="preserve">ממש כוונה זו בעיתוי האמור). מועד הדיווח הינו אפוא </w:t>
      </w:r>
      <w:r w:rsidR="0098636B" w:rsidRPr="0098636B">
        <w:rPr>
          <w:rFonts w:hint="cs"/>
          <w:b/>
          <w:bCs/>
          <w:rtl/>
        </w:rPr>
        <w:t>בסמיכות למועד המימוש</w:t>
      </w:r>
      <w:r>
        <w:rPr>
          <w:rFonts w:hint="cs"/>
          <w:b/>
          <w:bCs/>
          <w:rtl/>
        </w:rPr>
        <w:t>, כשבכל מקרה חל איסור על מימוש האופציות טרם שהתקבל אישור הממונה לכך</w:t>
      </w:r>
      <w:r w:rsidR="0098636B" w:rsidRPr="0098636B">
        <w:rPr>
          <w:rFonts w:hint="cs"/>
          <w:b/>
          <w:bCs/>
          <w:rtl/>
        </w:rPr>
        <w:t>.</w:t>
      </w:r>
    </w:p>
    <w:p w:rsidR="000E3A35" w:rsidRDefault="00B10915" w:rsidP="00B52561">
      <w:pPr>
        <w:spacing w:after="240"/>
        <w:ind w:left="32"/>
        <w:rPr>
          <w:rFonts w:hint="cs"/>
          <w:rtl/>
        </w:rPr>
      </w:pPr>
      <w:r>
        <w:rPr>
          <w:rFonts w:hint="cs"/>
          <w:rtl/>
        </w:rPr>
        <w:t xml:space="preserve">יחד עם זאת, לעיתים תקום חובת הדיווח </w:t>
      </w:r>
      <w:r w:rsidRPr="00B10915">
        <w:rPr>
          <w:rFonts w:hint="cs"/>
          <w:b/>
          <w:bCs/>
          <w:rtl/>
        </w:rPr>
        <w:t>כבר בעת הקנייתן של האופציות</w:t>
      </w:r>
      <w:r>
        <w:rPr>
          <w:rFonts w:hint="cs"/>
          <w:rtl/>
        </w:rPr>
        <w:t>.</w:t>
      </w:r>
      <w:r w:rsidR="0098636B">
        <w:rPr>
          <w:rFonts w:hint="cs"/>
          <w:rtl/>
        </w:rPr>
        <w:t xml:space="preserve"> </w:t>
      </w:r>
    </w:p>
    <w:p w:rsidR="00CB092D" w:rsidRDefault="0098636B" w:rsidP="009E4BD8">
      <w:pPr>
        <w:spacing w:after="240"/>
        <w:ind w:left="32"/>
        <w:rPr>
          <w:rFonts w:hint="cs"/>
          <w:rtl/>
        </w:rPr>
      </w:pPr>
      <w:r>
        <w:rPr>
          <w:rFonts w:hint="cs"/>
          <w:rtl/>
        </w:rPr>
        <w:t xml:space="preserve">כך יהיה למשל, מקום בו </w:t>
      </w:r>
      <w:r w:rsidR="000E3A35">
        <w:rPr>
          <w:rFonts w:hint="cs"/>
          <w:rtl/>
        </w:rPr>
        <w:t xml:space="preserve">כבר </w:t>
      </w:r>
      <w:r>
        <w:rPr>
          <w:rFonts w:hint="cs"/>
          <w:rtl/>
        </w:rPr>
        <w:t>בעת שמוקנית האו</w:t>
      </w:r>
      <w:r w:rsidR="0007321C">
        <w:rPr>
          <w:rFonts w:hint="cs"/>
          <w:rtl/>
        </w:rPr>
        <w:t>פ</w:t>
      </w:r>
      <w:r>
        <w:rPr>
          <w:rFonts w:hint="cs"/>
          <w:rtl/>
        </w:rPr>
        <w:t>ציה קיימת סבירות גבוהה למימושה, בהתחשב ב</w:t>
      </w:r>
      <w:r w:rsidR="000E3A35">
        <w:rPr>
          <w:rFonts w:hint="cs"/>
          <w:rtl/>
        </w:rPr>
        <w:t xml:space="preserve">יחס שבין </w:t>
      </w:r>
      <w:r>
        <w:rPr>
          <w:rFonts w:hint="cs"/>
          <w:rtl/>
        </w:rPr>
        <w:t xml:space="preserve">מחיר מימוש האופציה </w:t>
      </w:r>
      <w:r w:rsidR="000E3A35">
        <w:rPr>
          <w:rFonts w:hint="cs"/>
          <w:rtl/>
        </w:rPr>
        <w:t>ל</w:t>
      </w:r>
      <w:r>
        <w:rPr>
          <w:rFonts w:hint="cs"/>
          <w:rtl/>
        </w:rPr>
        <w:t xml:space="preserve">מחיר השוק ("אופציה עמוק בתוך הכסף"). </w:t>
      </w:r>
      <w:r w:rsidR="00CB092D">
        <w:rPr>
          <w:rFonts w:hint="cs"/>
          <w:rtl/>
        </w:rPr>
        <w:t>הטעם לכך הוא שבמקרה כזה</w:t>
      </w:r>
      <w:r w:rsidR="000E3A35">
        <w:rPr>
          <w:rFonts w:hint="cs"/>
          <w:rtl/>
        </w:rPr>
        <w:t>,</w:t>
      </w:r>
      <w:r w:rsidR="00CB092D">
        <w:rPr>
          <w:rFonts w:hint="cs"/>
          <w:rtl/>
        </w:rPr>
        <w:t xml:space="preserve"> </w:t>
      </w:r>
      <w:r w:rsidR="000E3A35">
        <w:rPr>
          <w:rFonts w:hint="cs"/>
          <w:rtl/>
        </w:rPr>
        <w:t xml:space="preserve">עצם </w:t>
      </w:r>
      <w:r w:rsidR="00CB092D">
        <w:rPr>
          <w:rFonts w:hint="cs"/>
          <w:rtl/>
        </w:rPr>
        <w:t xml:space="preserve">ההחזקה באופציה </w:t>
      </w:r>
      <w:r w:rsidR="000E3A35">
        <w:rPr>
          <w:rFonts w:hint="cs"/>
          <w:rtl/>
        </w:rPr>
        <w:t xml:space="preserve">יוצרת השפעה </w:t>
      </w:r>
      <w:r w:rsidR="00CB092D">
        <w:rPr>
          <w:rFonts w:hint="cs"/>
          <w:rtl/>
        </w:rPr>
        <w:t>על מערך התמריצים של בעל האופציה</w:t>
      </w:r>
      <w:r w:rsidR="000E3A35">
        <w:rPr>
          <w:rFonts w:hint="cs"/>
          <w:rtl/>
        </w:rPr>
        <w:t xml:space="preserve"> בדומה להשפעה </w:t>
      </w:r>
      <w:r w:rsidR="009E4BD8">
        <w:rPr>
          <w:rFonts w:hint="cs"/>
          <w:rtl/>
        </w:rPr>
        <w:t xml:space="preserve">שמקים </w:t>
      </w:r>
      <w:r w:rsidR="00CB092D">
        <w:rPr>
          <w:rFonts w:hint="cs"/>
          <w:rtl/>
        </w:rPr>
        <w:t xml:space="preserve">אינטרס פיננסי שמקורו בבעלות במניות התאגיד. </w:t>
      </w:r>
      <w:r>
        <w:rPr>
          <w:rFonts w:hint="cs"/>
          <w:rtl/>
        </w:rPr>
        <w:t xml:space="preserve">כך  יהיה גם, מקום בו </w:t>
      </w:r>
      <w:r w:rsidR="00D83B21">
        <w:rPr>
          <w:rFonts w:hint="cs"/>
          <w:rtl/>
        </w:rPr>
        <w:t xml:space="preserve">נלוות להחזקה באופציה זכויות נוספות שמכוחן מוקנית לבעל האופציה דריסת רגל בתאגיד </w:t>
      </w:r>
      <w:r>
        <w:rPr>
          <w:rFonts w:hint="cs"/>
          <w:rtl/>
        </w:rPr>
        <w:t>המוחזק</w:t>
      </w:r>
      <w:r w:rsidR="0007321C">
        <w:rPr>
          <w:rFonts w:hint="cs"/>
          <w:rtl/>
        </w:rPr>
        <w:t>.</w:t>
      </w:r>
      <w:r w:rsidR="00B10915">
        <w:rPr>
          <w:rStyle w:val="FootnoteReference"/>
          <w:rtl/>
        </w:rPr>
        <w:footnoteReference w:id="18"/>
      </w:r>
      <w:r w:rsidR="0007321C">
        <w:rPr>
          <w:rFonts w:hint="cs"/>
          <w:rtl/>
        </w:rPr>
        <w:t xml:space="preserve"> </w:t>
      </w:r>
      <w:r>
        <w:rPr>
          <w:rFonts w:hint="cs"/>
          <w:rtl/>
        </w:rPr>
        <w:t xml:space="preserve"> </w:t>
      </w:r>
      <w:r w:rsidR="00CB092D">
        <w:rPr>
          <w:rFonts w:hint="cs"/>
          <w:rtl/>
        </w:rPr>
        <w:t xml:space="preserve"> </w:t>
      </w:r>
    </w:p>
    <w:p w:rsidR="00D83B21" w:rsidRDefault="0007321C" w:rsidP="00B52561">
      <w:pPr>
        <w:spacing w:after="240"/>
        <w:ind w:left="32"/>
        <w:rPr>
          <w:rFonts w:hint="cs"/>
          <w:rtl/>
        </w:rPr>
      </w:pPr>
      <w:r>
        <w:rPr>
          <w:rFonts w:hint="cs"/>
          <w:rtl/>
        </w:rPr>
        <w:t xml:space="preserve">עד כה עסקנו </w:t>
      </w:r>
      <w:r w:rsidR="00D83B21" w:rsidRPr="00CC6504">
        <w:rPr>
          <w:rFonts w:hint="cs"/>
          <w:rtl/>
        </w:rPr>
        <w:t xml:space="preserve">במועד </w:t>
      </w:r>
      <w:r w:rsidR="00CC6504" w:rsidRPr="00CC6504">
        <w:rPr>
          <w:rFonts w:hint="cs"/>
          <w:rtl/>
        </w:rPr>
        <w:t>בו</w:t>
      </w:r>
      <w:r w:rsidR="00CC6504">
        <w:rPr>
          <w:rFonts w:hint="cs"/>
          <w:b/>
          <w:bCs/>
          <w:rtl/>
        </w:rPr>
        <w:t xml:space="preserve"> קמה </w:t>
      </w:r>
      <w:r w:rsidR="00013F01">
        <w:rPr>
          <w:rFonts w:hint="cs"/>
          <w:b/>
          <w:bCs/>
          <w:rtl/>
        </w:rPr>
        <w:t>ה</w:t>
      </w:r>
      <w:r w:rsidR="00CC6504">
        <w:rPr>
          <w:rFonts w:hint="cs"/>
          <w:b/>
          <w:bCs/>
          <w:rtl/>
        </w:rPr>
        <w:t xml:space="preserve">חובה </w:t>
      </w:r>
      <w:r w:rsidR="00CC6504" w:rsidRPr="00CC6504">
        <w:rPr>
          <w:rFonts w:hint="cs"/>
          <w:rtl/>
        </w:rPr>
        <w:t>לבקש</w:t>
      </w:r>
      <w:r w:rsidR="00CC6504">
        <w:rPr>
          <w:rFonts w:hint="cs"/>
          <w:b/>
          <w:bCs/>
          <w:rtl/>
        </w:rPr>
        <w:t xml:space="preserve"> </w:t>
      </w:r>
      <w:r w:rsidR="00CC6504">
        <w:rPr>
          <w:rFonts w:hint="cs"/>
          <w:rtl/>
        </w:rPr>
        <w:t>את</w:t>
      </w:r>
      <w:r w:rsidR="00D83B21">
        <w:rPr>
          <w:rFonts w:hint="cs"/>
          <w:rtl/>
        </w:rPr>
        <w:t xml:space="preserve"> אישור הממונה</w:t>
      </w:r>
      <w:r w:rsidR="00CC6504">
        <w:rPr>
          <w:rFonts w:hint="cs"/>
          <w:rtl/>
        </w:rPr>
        <w:t>.</w:t>
      </w:r>
      <w:r w:rsidR="00D83B21">
        <w:rPr>
          <w:rFonts w:hint="cs"/>
          <w:rtl/>
        </w:rPr>
        <w:t xml:space="preserve"> שאלה אחרת היא </w:t>
      </w:r>
      <w:r w:rsidR="00D83B21" w:rsidRPr="00D83B21">
        <w:rPr>
          <w:rFonts w:hint="cs"/>
          <w:b/>
          <w:bCs/>
          <w:rtl/>
        </w:rPr>
        <w:t>מהו המועד המוקדם ביותר</w:t>
      </w:r>
      <w:r w:rsidR="00D83B21">
        <w:rPr>
          <w:rFonts w:hint="cs"/>
          <w:rtl/>
        </w:rPr>
        <w:t xml:space="preserve"> שבו תסכים הרשות לבחון בקשה לאישור אופציה. כפי שהוסבר לעיל, מועד זה הוא ככלל המועד שבו התגבשה כוונה קונקרטית לממש את האופציה</w:t>
      </w:r>
      <w:r w:rsidR="000E3A35">
        <w:rPr>
          <w:rFonts w:hint="cs"/>
          <w:rtl/>
        </w:rPr>
        <w:t xml:space="preserve">. </w:t>
      </w:r>
      <w:r w:rsidR="00D83B21">
        <w:rPr>
          <w:rFonts w:hint="cs"/>
          <w:rtl/>
        </w:rPr>
        <w:t xml:space="preserve"> </w:t>
      </w:r>
    </w:p>
    <w:p w:rsidR="00D83B21" w:rsidRDefault="000E3A35" w:rsidP="009E4BD8">
      <w:pPr>
        <w:spacing w:after="240"/>
        <w:ind w:left="32"/>
        <w:rPr>
          <w:rFonts w:hint="cs"/>
          <w:rtl/>
        </w:rPr>
      </w:pPr>
      <w:r>
        <w:rPr>
          <w:rFonts w:hint="cs"/>
          <w:rtl/>
        </w:rPr>
        <w:t xml:space="preserve">לא אחת </w:t>
      </w:r>
      <w:r w:rsidR="00D83B21">
        <w:rPr>
          <w:rFonts w:hint="cs"/>
          <w:rtl/>
        </w:rPr>
        <w:t xml:space="preserve">התבקשה הרשות לאשר את האופציות כבר בעת הקנייתן. מתן אישור בשלב </w:t>
      </w:r>
      <w:r>
        <w:rPr>
          <w:rFonts w:hint="cs"/>
          <w:rtl/>
        </w:rPr>
        <w:t xml:space="preserve">הקנייתן של האופציות </w:t>
      </w:r>
      <w:r w:rsidR="00D83B21">
        <w:rPr>
          <w:rFonts w:hint="cs"/>
          <w:rtl/>
        </w:rPr>
        <w:t>מקנה לצדדים וודאות, כי בבוא העת ניתן יהיה לממש</w:t>
      </w:r>
      <w:r>
        <w:rPr>
          <w:rFonts w:hint="cs"/>
          <w:rtl/>
        </w:rPr>
        <w:t xml:space="preserve">ן. וודאות זו משליכה כמובן </w:t>
      </w:r>
      <w:r w:rsidR="00D83B21">
        <w:rPr>
          <w:rFonts w:hint="cs"/>
          <w:rtl/>
        </w:rPr>
        <w:t xml:space="preserve">על ערכן הכלכלי של האופציות. </w:t>
      </w:r>
    </w:p>
    <w:p w:rsidR="00E64213" w:rsidRDefault="00D83B21" w:rsidP="00B52561">
      <w:pPr>
        <w:spacing w:after="240"/>
        <w:ind w:left="32"/>
        <w:rPr>
          <w:rFonts w:hint="cs"/>
          <w:rtl/>
        </w:rPr>
      </w:pPr>
      <w:r>
        <w:rPr>
          <w:rFonts w:hint="cs"/>
          <w:rtl/>
        </w:rPr>
        <w:t xml:space="preserve">עם זאת, </w:t>
      </w:r>
      <w:r w:rsidR="00E64213">
        <w:rPr>
          <w:rFonts w:hint="cs"/>
          <w:rtl/>
        </w:rPr>
        <w:t xml:space="preserve">בדיקתן של כלל </w:t>
      </w:r>
      <w:r w:rsidR="000E3A35">
        <w:rPr>
          <w:rFonts w:hint="cs"/>
          <w:rtl/>
        </w:rPr>
        <w:t xml:space="preserve">העסקאות למתן אופציות </w:t>
      </w:r>
      <w:r w:rsidR="00E64213">
        <w:rPr>
          <w:rFonts w:hint="cs"/>
          <w:rtl/>
        </w:rPr>
        <w:t xml:space="preserve">מחייבת את מערך הפיקוח להידרש למספר רב ביותר של עסקאות שיכול ולעולם לא יצאו אל הפועל. דבר זה אינו יעיל ואינו מעשי. הוא כרוך בבזבוז משאבי ציבור </w:t>
      </w:r>
      <w:r>
        <w:rPr>
          <w:rFonts w:hint="cs"/>
          <w:rtl/>
        </w:rPr>
        <w:t xml:space="preserve">מוגבלים </w:t>
      </w:r>
      <w:r w:rsidR="00E64213">
        <w:rPr>
          <w:rFonts w:hint="cs"/>
          <w:rtl/>
        </w:rPr>
        <w:t xml:space="preserve">ומעורר מנעד רחב </w:t>
      </w:r>
      <w:r w:rsidR="00CC6504">
        <w:rPr>
          <w:rFonts w:hint="cs"/>
          <w:rtl/>
        </w:rPr>
        <w:t xml:space="preserve">מאוד </w:t>
      </w:r>
      <w:r w:rsidR="00E64213">
        <w:rPr>
          <w:rFonts w:hint="cs"/>
          <w:rtl/>
        </w:rPr>
        <w:t xml:space="preserve">של קשיים פרקטיים. </w:t>
      </w:r>
    </w:p>
    <w:p w:rsidR="00E858DB" w:rsidRDefault="00D83B21" w:rsidP="00B52561">
      <w:pPr>
        <w:spacing w:after="240"/>
        <w:ind w:left="32"/>
        <w:rPr>
          <w:rFonts w:hint="cs"/>
          <w:rtl/>
        </w:rPr>
      </w:pPr>
      <w:r>
        <w:rPr>
          <w:rFonts w:hint="cs"/>
          <w:rtl/>
        </w:rPr>
        <w:t>בתהליך הדרגתי</w:t>
      </w:r>
      <w:r w:rsidR="00020AA5">
        <w:rPr>
          <w:rFonts w:hint="cs"/>
          <w:rtl/>
        </w:rPr>
        <w:t>,</w:t>
      </w:r>
      <w:r>
        <w:rPr>
          <w:rFonts w:hint="cs"/>
          <w:rtl/>
        </w:rPr>
        <w:t xml:space="preserve"> גיבשה רשות ההגבלים העסקיים מספר כללים מעשיים בהקשר זה, </w:t>
      </w:r>
      <w:r w:rsidR="00CC6504">
        <w:rPr>
          <w:rFonts w:hint="cs"/>
          <w:rtl/>
        </w:rPr>
        <w:t>אשר מאזנים</w:t>
      </w:r>
      <w:r>
        <w:rPr>
          <w:rFonts w:hint="cs"/>
          <w:rtl/>
        </w:rPr>
        <w:t xml:space="preserve"> בין </w:t>
      </w:r>
      <w:r w:rsidR="00E64213">
        <w:rPr>
          <w:rFonts w:hint="cs"/>
          <w:rtl/>
        </w:rPr>
        <w:t xml:space="preserve">הצורך של הצדדים למיזוג בהגברת הוודאות </w:t>
      </w:r>
      <w:r>
        <w:rPr>
          <w:rFonts w:hint="cs"/>
          <w:rtl/>
        </w:rPr>
        <w:t xml:space="preserve">בקשר עם </w:t>
      </w:r>
      <w:r w:rsidR="00E64213">
        <w:rPr>
          <w:rFonts w:hint="cs"/>
          <w:rtl/>
        </w:rPr>
        <w:t xml:space="preserve">מימושן של האופציות ובין אינטרס הציבור בקיומו של פיקוח יעיל וממוקד על עסקאות מיזוג. </w:t>
      </w:r>
      <w:r w:rsidR="0007321C">
        <w:rPr>
          <w:rFonts w:hint="cs"/>
          <w:rtl/>
        </w:rPr>
        <w:t xml:space="preserve">   </w:t>
      </w:r>
    </w:p>
    <w:p w:rsidR="00E64213" w:rsidRDefault="00E64213" w:rsidP="00B52561">
      <w:pPr>
        <w:spacing w:after="240"/>
        <w:ind w:left="32"/>
        <w:rPr>
          <w:rFonts w:hint="cs"/>
          <w:rtl/>
        </w:rPr>
      </w:pPr>
      <w:r>
        <w:rPr>
          <w:rFonts w:hint="cs"/>
          <w:rtl/>
        </w:rPr>
        <w:t xml:space="preserve">כלל ראשון הוא, כי </w:t>
      </w:r>
      <w:r w:rsidR="00013F01">
        <w:rPr>
          <w:rFonts w:hint="cs"/>
          <w:rtl/>
        </w:rPr>
        <w:t xml:space="preserve">בעת </w:t>
      </w:r>
      <w:r w:rsidR="00020AA5">
        <w:rPr>
          <w:rFonts w:hint="cs"/>
          <w:rtl/>
        </w:rPr>
        <w:t xml:space="preserve">הגשת הודעת מיזוג בגין עסקת מיזוג חברות </w:t>
      </w:r>
      <w:r>
        <w:rPr>
          <w:rFonts w:hint="cs"/>
          <w:rtl/>
        </w:rPr>
        <w:t>יכולות החברות המתמזגות לבקש</w:t>
      </w:r>
      <w:r w:rsidR="00020AA5">
        <w:rPr>
          <w:rFonts w:hint="cs"/>
          <w:rtl/>
        </w:rPr>
        <w:t>, ש</w:t>
      </w:r>
      <w:r>
        <w:rPr>
          <w:rFonts w:hint="cs"/>
          <w:rtl/>
        </w:rPr>
        <w:t>אישור המיזוג יתייחס גם למימושן האפשרי של אופציות</w:t>
      </w:r>
      <w:r w:rsidR="00BB5DAE">
        <w:rPr>
          <w:rFonts w:hint="cs"/>
          <w:rtl/>
        </w:rPr>
        <w:t xml:space="preserve"> </w:t>
      </w:r>
      <w:r w:rsidR="00020AA5">
        <w:rPr>
          <w:rFonts w:hint="cs"/>
          <w:rtl/>
        </w:rPr>
        <w:t xml:space="preserve">שהוקנו בעסקה, שמימושן יגדיל את החזקת </w:t>
      </w:r>
      <w:r w:rsidR="00BB5DAE">
        <w:rPr>
          <w:rFonts w:hint="cs"/>
          <w:rtl/>
        </w:rPr>
        <w:t xml:space="preserve">הרוכש בעסק הנרכש. </w:t>
      </w:r>
      <w:r w:rsidR="00020AA5">
        <w:rPr>
          <w:rFonts w:hint="cs"/>
          <w:rtl/>
        </w:rPr>
        <w:t>בדרך זו תיחסך מהחברות המתמזגות החובה להגיש הודעה נוספת לעת מימושן של האופציות.</w:t>
      </w:r>
      <w:r w:rsidR="00020AA5">
        <w:rPr>
          <w:rStyle w:val="FootnoteReference"/>
          <w:rtl/>
        </w:rPr>
        <w:footnoteReference w:id="19"/>
      </w:r>
      <w:r w:rsidR="00BB5DAE">
        <w:rPr>
          <w:rFonts w:hint="cs"/>
          <w:rtl/>
        </w:rPr>
        <w:t xml:space="preserve"> </w:t>
      </w:r>
      <w:r>
        <w:rPr>
          <w:rFonts w:hint="cs"/>
          <w:rtl/>
        </w:rPr>
        <w:t xml:space="preserve">  </w:t>
      </w:r>
    </w:p>
    <w:p w:rsidR="007E35C6" w:rsidRDefault="00020AA5" w:rsidP="00B52561">
      <w:pPr>
        <w:spacing w:after="240"/>
        <w:ind w:left="32"/>
        <w:rPr>
          <w:rFonts w:hint="cs"/>
          <w:rtl/>
        </w:rPr>
      </w:pPr>
      <w:r>
        <w:rPr>
          <w:rFonts w:hint="cs"/>
          <w:rtl/>
        </w:rPr>
        <w:t>מה דין הודעת מיזוג המוגשת בגין אופציות שמימושן מקים מיזוג חברות, כאשר הקנייתן של אופציות אלה אינה נלווית לעסקת מיזוג חברות?</w:t>
      </w:r>
      <w:r w:rsidR="00851D2D">
        <w:rPr>
          <w:rStyle w:val="FootnoteReference"/>
          <w:rtl/>
        </w:rPr>
        <w:footnoteReference w:id="20"/>
      </w:r>
      <w:r w:rsidR="00851D2D">
        <w:rPr>
          <w:rFonts w:hint="cs"/>
          <w:rtl/>
        </w:rPr>
        <w:t xml:space="preserve"> </w:t>
      </w:r>
      <w:r w:rsidR="00BB5DAE">
        <w:rPr>
          <w:rFonts w:hint="cs"/>
          <w:rtl/>
        </w:rPr>
        <w:t>במקרה כזה, תסרב הרשות לדון בהודעת המיזוג</w:t>
      </w:r>
      <w:r w:rsidR="005F23FC">
        <w:rPr>
          <w:rFonts w:hint="cs"/>
          <w:rtl/>
        </w:rPr>
        <w:t xml:space="preserve">, זולת אם </w:t>
      </w:r>
      <w:r w:rsidR="00851D2D">
        <w:rPr>
          <w:rFonts w:hint="cs"/>
          <w:rtl/>
        </w:rPr>
        <w:t>י</w:t>
      </w:r>
      <w:r w:rsidR="005F23FC">
        <w:rPr>
          <w:rFonts w:hint="cs"/>
          <w:rtl/>
        </w:rPr>
        <w:t>ובא בפניה טעם מיוחד המצדיק הידרשות להסכם האופציה טרם שהתגבשה כוונ</w:t>
      </w:r>
      <w:r>
        <w:rPr>
          <w:rFonts w:hint="cs"/>
          <w:rtl/>
        </w:rPr>
        <w:t>ה ק</w:t>
      </w:r>
      <w:r w:rsidR="005F23FC">
        <w:rPr>
          <w:rFonts w:hint="cs"/>
          <w:rtl/>
        </w:rPr>
        <w:t>ונקרטית</w:t>
      </w:r>
      <w:r>
        <w:rPr>
          <w:rFonts w:hint="cs"/>
          <w:rtl/>
        </w:rPr>
        <w:t xml:space="preserve"> לממש את האופציות</w:t>
      </w:r>
      <w:r w:rsidR="005F23FC">
        <w:rPr>
          <w:rFonts w:hint="cs"/>
          <w:rtl/>
        </w:rPr>
        <w:t xml:space="preserve">. </w:t>
      </w:r>
      <w:r w:rsidR="00651A9D">
        <w:rPr>
          <w:rFonts w:hint="cs"/>
          <w:rtl/>
        </w:rPr>
        <w:t xml:space="preserve">טעם </w:t>
      </w:r>
      <w:r>
        <w:rPr>
          <w:rFonts w:hint="cs"/>
          <w:rtl/>
        </w:rPr>
        <w:t xml:space="preserve">מיוחד </w:t>
      </w:r>
      <w:r w:rsidR="00651A9D">
        <w:rPr>
          <w:rFonts w:hint="cs"/>
          <w:rtl/>
        </w:rPr>
        <w:t xml:space="preserve">כזה קשור </w:t>
      </w:r>
      <w:r w:rsidR="00851D2D">
        <w:rPr>
          <w:rFonts w:hint="cs"/>
          <w:rtl/>
        </w:rPr>
        <w:t xml:space="preserve">בדרך כלל </w:t>
      </w:r>
      <w:r w:rsidR="00651A9D">
        <w:rPr>
          <w:rFonts w:hint="cs"/>
          <w:rtl/>
        </w:rPr>
        <w:t>במורכבות תחרותית הקיימת בעסקה</w:t>
      </w:r>
      <w:r w:rsidR="00851D2D">
        <w:rPr>
          <w:rFonts w:hint="cs"/>
          <w:rtl/>
        </w:rPr>
        <w:t>,</w:t>
      </w:r>
      <w:r w:rsidR="00651A9D">
        <w:rPr>
          <w:rFonts w:hint="cs"/>
          <w:rtl/>
        </w:rPr>
        <w:t xml:space="preserve"> אשר יוצרת אי וודאות מוגברת באשר לסיכוי שתאושר בבוא העת. </w:t>
      </w:r>
      <w:r w:rsidR="00D9246F">
        <w:rPr>
          <w:rFonts w:hint="cs"/>
          <w:rtl/>
        </w:rPr>
        <w:t>צדדים המבקשים אישור בגין טעם מיוחד כאמור</w:t>
      </w:r>
      <w:r w:rsidR="00851D2D">
        <w:rPr>
          <w:rFonts w:hint="cs"/>
          <w:rtl/>
        </w:rPr>
        <w:t>,</w:t>
      </w:r>
      <w:r w:rsidR="00D9246F">
        <w:rPr>
          <w:rFonts w:hint="cs"/>
          <w:rtl/>
        </w:rPr>
        <w:t xml:space="preserve"> צריכים לפרט מהי המורכבות המצדיקה לדעתם הידרשות הרשות לעניין. היה ותחליט הרשות, כי קיימת הצדקה להעניק היתר לאופציות, </w:t>
      </w:r>
      <w:r w:rsidR="00851D2D">
        <w:rPr>
          <w:rFonts w:hint="cs"/>
          <w:rtl/>
        </w:rPr>
        <w:t xml:space="preserve">בהינתן טעם מיוחד </w:t>
      </w:r>
      <w:r w:rsidR="00D9246F">
        <w:rPr>
          <w:rFonts w:hint="cs"/>
          <w:rtl/>
        </w:rPr>
        <w:t>כאמור, כי אז יינתן</w:t>
      </w:r>
      <w:r w:rsidR="00851D2D">
        <w:rPr>
          <w:rFonts w:hint="cs"/>
          <w:rtl/>
        </w:rPr>
        <w:t xml:space="preserve"> לצדדים למיזוג </w:t>
      </w:r>
      <w:r w:rsidR="00D9246F">
        <w:rPr>
          <w:rFonts w:hint="cs"/>
          <w:rtl/>
        </w:rPr>
        <w:t xml:space="preserve">אישור מיזוג שתוקפו לשנה אחת. </w:t>
      </w:r>
      <w:r>
        <w:rPr>
          <w:rFonts w:hint="cs"/>
          <w:rtl/>
        </w:rPr>
        <w:t xml:space="preserve">היה והאופציות לא ימומשו בתקופה זו, יידרשו הצדדים להגיש הודעה נוספת, עובר למימושן. </w:t>
      </w:r>
      <w:r w:rsidR="007E35C6">
        <w:rPr>
          <w:rFonts w:hint="cs"/>
          <w:rtl/>
        </w:rPr>
        <w:t xml:space="preserve">  </w:t>
      </w:r>
    </w:p>
    <w:p w:rsidR="007E35C6" w:rsidRDefault="007E35C6" w:rsidP="00B52561">
      <w:pPr>
        <w:pStyle w:val="Heading1"/>
        <w:numPr>
          <w:ilvl w:val="0"/>
          <w:numId w:val="12"/>
        </w:numPr>
        <w:spacing w:before="120" w:after="240" w:line="360" w:lineRule="auto"/>
        <w:ind w:left="32" w:right="0" w:firstLine="0"/>
        <w:rPr>
          <w:rFonts w:ascii="Times New Roman" w:hAnsi="Times New Roman" w:cs="David" w:hint="cs"/>
          <w:kern w:val="0"/>
          <w:rtl/>
        </w:rPr>
      </w:pPr>
      <w:bookmarkStart w:id="8" w:name="_Toc151956804"/>
      <w:r>
        <w:rPr>
          <w:rFonts w:ascii="Times New Roman" w:hAnsi="Times New Roman" w:cs="David" w:hint="cs"/>
          <w:kern w:val="0"/>
          <w:rtl/>
        </w:rPr>
        <w:t>סיווג העסקה - מהו מיזוג חברות?</w:t>
      </w:r>
      <w:bookmarkEnd w:id="8"/>
    </w:p>
    <w:p w:rsidR="009E4BD8" w:rsidRPr="009E4BD8" w:rsidRDefault="009E4BD8" w:rsidP="00F249EF">
      <w:pPr>
        <w:rPr>
          <w:rFonts w:hint="cs"/>
          <w:b/>
          <w:bCs/>
          <w:i/>
          <w:iCs/>
          <w:rtl/>
        </w:rPr>
      </w:pPr>
      <w:r w:rsidRPr="00F249EF">
        <w:rPr>
          <w:rFonts w:hint="cs"/>
          <w:rtl/>
        </w:rPr>
        <w:t>החובות המיוחדות החלות על צדדים לעסקת מיזוג, שכפופה לחובת אישור לפי חוק ההגבלים העסקיים, מחדדות את הצורך בהכרת גבולות תחולתו של פרק "מיזוג חברות" שבחוק</w:t>
      </w:r>
      <w:r>
        <w:rPr>
          <w:rFonts w:hint="cs"/>
          <w:b/>
          <w:bCs/>
          <w:i/>
          <w:iCs/>
          <w:rtl/>
        </w:rPr>
        <w:t xml:space="preserve">. </w:t>
      </w:r>
    </w:p>
    <w:p w:rsidR="007E35C6" w:rsidRPr="008F76DA" w:rsidRDefault="007E35C6" w:rsidP="008F76DA">
      <w:pPr>
        <w:pStyle w:val="Heading2"/>
        <w:rPr>
          <w:rFonts w:cs="David" w:hint="cs"/>
          <w:i w:val="0"/>
          <w:iCs w:val="0"/>
          <w:rtl/>
        </w:rPr>
      </w:pPr>
      <w:bookmarkStart w:id="9" w:name="_Toc151956805"/>
      <w:r w:rsidRPr="008F76DA">
        <w:rPr>
          <w:rFonts w:cs="David" w:hint="cs"/>
          <w:i w:val="0"/>
          <w:iCs w:val="0"/>
          <w:rtl/>
        </w:rPr>
        <w:t>ג.1. כללי</w:t>
      </w:r>
      <w:bookmarkEnd w:id="9"/>
    </w:p>
    <w:p w:rsidR="007E35C6" w:rsidRDefault="007E35C6" w:rsidP="00B52561">
      <w:pPr>
        <w:spacing w:after="240"/>
        <w:ind w:left="32"/>
        <w:rPr>
          <w:rFonts w:hint="cs"/>
          <w:rtl/>
        </w:rPr>
      </w:pPr>
      <w:r>
        <w:rPr>
          <w:rFonts w:hint="cs"/>
          <w:rtl/>
        </w:rPr>
        <w:t xml:space="preserve">החשש התחרותי הבסיסי לגבי עסקאות מיזוג מוצא </w:t>
      </w:r>
      <w:r w:rsidR="005A0DC3">
        <w:rPr>
          <w:rFonts w:hint="cs"/>
          <w:rtl/>
        </w:rPr>
        <w:t>את ה</w:t>
      </w:r>
      <w:r>
        <w:rPr>
          <w:rFonts w:hint="cs"/>
          <w:rtl/>
        </w:rPr>
        <w:t xml:space="preserve">ביטוי </w:t>
      </w:r>
      <w:r w:rsidR="005A0DC3">
        <w:rPr>
          <w:rFonts w:hint="cs"/>
          <w:rtl/>
        </w:rPr>
        <w:t>ה</w:t>
      </w:r>
      <w:r>
        <w:rPr>
          <w:rFonts w:hint="cs"/>
          <w:rtl/>
        </w:rPr>
        <w:t xml:space="preserve">מובהק </w:t>
      </w:r>
      <w:r w:rsidR="005A0DC3">
        <w:rPr>
          <w:rFonts w:hint="cs"/>
          <w:rtl/>
        </w:rPr>
        <w:t xml:space="preserve">ביותר </w:t>
      </w:r>
      <w:r>
        <w:rPr>
          <w:rFonts w:hint="cs"/>
          <w:rtl/>
        </w:rPr>
        <w:t xml:space="preserve">בעסקה בה מקבל עסק אחד את </w:t>
      </w:r>
      <w:r>
        <w:rPr>
          <w:rFonts w:hint="cs"/>
          <w:b/>
          <w:bCs/>
          <w:rtl/>
        </w:rPr>
        <w:t>השליטה המלאה</w:t>
      </w:r>
      <w:r>
        <w:rPr>
          <w:rFonts w:hint="cs"/>
          <w:rtl/>
        </w:rPr>
        <w:t xml:space="preserve"> בעסק אחר, שהיה טרם עסקת המיזוג עצמאי ונפרד ממנו.  אולם, החשש התחרותי משתרע גם על מצבים אחרים שאינם מגיעים כדי השתלטות מלאה</w:t>
      </w:r>
      <w:r w:rsidR="005B3518">
        <w:rPr>
          <w:rFonts w:hint="cs"/>
          <w:rtl/>
        </w:rPr>
        <w:t xml:space="preserve">. </w:t>
      </w:r>
      <w:r>
        <w:rPr>
          <w:rFonts w:hint="cs"/>
          <w:rtl/>
        </w:rPr>
        <w:t xml:space="preserve">כך למשל, גם במקום בו רכש עסק זכות להשתתף בניהולו הפנימי </w:t>
      </w:r>
      <w:r w:rsidRPr="00102B02">
        <w:rPr>
          <w:rFonts w:hint="cs"/>
          <w:rtl/>
        </w:rPr>
        <w:t>של עסק אחר</w:t>
      </w:r>
      <w:r w:rsidR="00A256C5" w:rsidRPr="00102B02">
        <w:rPr>
          <w:rFonts w:hint="cs"/>
          <w:rtl/>
        </w:rPr>
        <w:t xml:space="preserve">, </w:t>
      </w:r>
      <w:r w:rsidR="00B123F1" w:rsidRPr="00102B02">
        <w:rPr>
          <w:rFonts w:hint="cs"/>
          <w:rtl/>
        </w:rPr>
        <w:t xml:space="preserve">להשפיע </w:t>
      </w:r>
      <w:r w:rsidR="002121C7">
        <w:rPr>
          <w:rFonts w:hint="cs"/>
          <w:rtl/>
        </w:rPr>
        <w:t xml:space="preserve">באופן ממשי </w:t>
      </w:r>
      <w:r w:rsidR="00B123F1" w:rsidRPr="00102B02">
        <w:rPr>
          <w:rFonts w:hint="cs"/>
          <w:rtl/>
        </w:rPr>
        <w:t>על התנהלותו</w:t>
      </w:r>
      <w:r w:rsidR="00A256C5" w:rsidRPr="00102B02">
        <w:rPr>
          <w:rFonts w:hint="cs"/>
          <w:rtl/>
        </w:rPr>
        <w:t xml:space="preserve"> או ל</w:t>
      </w:r>
      <w:r w:rsidR="007C7D29" w:rsidRPr="00102B02">
        <w:rPr>
          <w:rFonts w:hint="cs"/>
          <w:rtl/>
        </w:rPr>
        <w:t>חלוק ב</w:t>
      </w:r>
      <w:r w:rsidR="005A0DC3">
        <w:rPr>
          <w:rFonts w:hint="cs"/>
          <w:rtl/>
        </w:rPr>
        <w:t>נתח מ</w:t>
      </w:r>
      <w:r w:rsidR="007C7D29" w:rsidRPr="00102B02">
        <w:rPr>
          <w:rFonts w:hint="cs"/>
          <w:rtl/>
        </w:rPr>
        <w:t>רווחיו</w:t>
      </w:r>
      <w:r w:rsidRPr="00102B02">
        <w:rPr>
          <w:rFonts w:hint="cs"/>
          <w:rtl/>
        </w:rPr>
        <w:t>, אפילו אין הדברים מגיעים כדי רכישת שליטה</w:t>
      </w:r>
      <w:r w:rsidR="007C7D29" w:rsidRPr="00102B02">
        <w:rPr>
          <w:rFonts w:hint="cs"/>
          <w:rtl/>
        </w:rPr>
        <w:t xml:space="preserve"> </w:t>
      </w:r>
      <w:r>
        <w:rPr>
          <w:rtl/>
        </w:rPr>
        <w:t>–</w:t>
      </w:r>
      <w:r w:rsidR="001A3602">
        <w:rPr>
          <w:rFonts w:hint="cs"/>
          <w:rtl/>
        </w:rPr>
        <w:t xml:space="preserve"> </w:t>
      </w:r>
      <w:r>
        <w:rPr>
          <w:rFonts w:hint="cs"/>
          <w:rtl/>
        </w:rPr>
        <w:t xml:space="preserve">עשויה זיקה מבנית זו להפחית את התחרות בין שני העסקים.    </w:t>
      </w:r>
    </w:p>
    <w:p w:rsidR="007E35C6" w:rsidRDefault="007E35C6" w:rsidP="004A4915">
      <w:pPr>
        <w:spacing w:after="120"/>
        <w:ind w:left="32"/>
        <w:rPr>
          <w:rFonts w:hint="cs"/>
          <w:rtl/>
        </w:rPr>
      </w:pPr>
      <w:r>
        <w:rPr>
          <w:rFonts w:hint="cs"/>
          <w:b/>
          <w:bCs/>
          <w:rtl/>
        </w:rPr>
        <w:t>מיזוג חברות מוגדר בסעיף 1 לחוק:</w:t>
      </w:r>
      <w:r>
        <w:rPr>
          <w:rFonts w:hint="cs"/>
          <w:rtl/>
        </w:rPr>
        <w:t xml:space="preserve"> </w:t>
      </w:r>
    </w:p>
    <w:p w:rsidR="007E35C6" w:rsidRDefault="007E35C6" w:rsidP="00B52561">
      <w:pPr>
        <w:pStyle w:val="-"/>
        <w:rPr>
          <w:rtl/>
        </w:rPr>
      </w:pPr>
      <w:r>
        <w:rPr>
          <w:rFonts w:hint="cs"/>
          <w:rtl/>
        </w:rPr>
        <w:t>"לרבות רכישת עיקר נכסי חברה בידי חברה אחרת או רכישת מניות בחברה בידי חברה אחרת המקנות לחברה הרוכשת יותר מרבע מהערך הנקוב של הון המניות המו</w:t>
      </w:r>
      <w:r>
        <w:rPr>
          <w:rtl/>
        </w:rPr>
        <w:t>צ</w:t>
      </w:r>
      <w:r>
        <w:rPr>
          <w:rFonts w:hint="cs"/>
          <w:rtl/>
        </w:rPr>
        <w:t>א, או מכוח ההצבעה או מהכוח למנות יותר מרבע מהדירקטורים או השתתפות ביותר מרבע ברווחי החברה; הרכישה יכול שתהא במישרין או בעקיפין או באמצעות זכויות המוקנות בחוזה".</w:t>
      </w:r>
    </w:p>
    <w:p w:rsidR="007E35C6" w:rsidRDefault="007E35C6" w:rsidP="00B52561">
      <w:pPr>
        <w:pStyle w:val="BodyText"/>
        <w:spacing w:after="240"/>
        <w:ind w:left="32"/>
        <w:rPr>
          <w:rFonts w:hint="cs"/>
          <w:rtl/>
        </w:rPr>
      </w:pPr>
      <w:r>
        <w:rPr>
          <w:rFonts w:hint="cs"/>
          <w:rtl/>
        </w:rPr>
        <w:t>הגדרת מיזוג חברו</w:t>
      </w:r>
      <w:r w:rsidR="007674DA">
        <w:rPr>
          <w:rFonts w:hint="cs"/>
          <w:rtl/>
        </w:rPr>
        <w:t>ת</w:t>
      </w:r>
      <w:r>
        <w:rPr>
          <w:rFonts w:hint="cs"/>
          <w:rtl/>
        </w:rPr>
        <w:t xml:space="preserve"> מורכבת מ</w:t>
      </w:r>
      <w:r>
        <w:rPr>
          <w:rtl/>
        </w:rPr>
        <w:t xml:space="preserve">שני רבדים: </w:t>
      </w:r>
      <w:r>
        <w:rPr>
          <w:rFonts w:hint="cs"/>
          <w:rtl/>
        </w:rPr>
        <w:t xml:space="preserve">רובד רחב ופתוח (שאינו מפורט בהגדרה) ואסופת מקרים פרטניים, המצוינים מפורשות בהגדרה, ואשר כל אחד מהם מקים </w:t>
      </w:r>
      <w:r>
        <w:rPr>
          <w:rFonts w:hint="cs"/>
          <w:b/>
          <w:bCs/>
          <w:rtl/>
        </w:rPr>
        <w:t>בהכרח</w:t>
      </w:r>
      <w:r>
        <w:rPr>
          <w:rFonts w:hint="cs"/>
          <w:rtl/>
        </w:rPr>
        <w:t xml:space="preserve"> "מיזוג חברות"</w:t>
      </w:r>
      <w:r>
        <w:rPr>
          <w:rtl/>
        </w:rPr>
        <w:t>.</w:t>
      </w:r>
      <w:r>
        <w:rPr>
          <w:rFonts w:hint="cs"/>
          <w:rtl/>
        </w:rPr>
        <w:t xml:space="preserve"> במילים אחרות, אסופת המקרים הפרטניים באה להוסיף על העסקה הבסיסית המהווה "מיזוג חברות", אשר לא פורטה במפורש בהגדרה שבחוק, מן הטעם שהמחוקק סבר כי גרעינה ברור: כל יצירה או חיזוק של זיקת השפעה </w:t>
      </w:r>
      <w:r w:rsidR="002121C7">
        <w:rPr>
          <w:rFonts w:hint="cs"/>
          <w:rtl/>
        </w:rPr>
        <w:t xml:space="preserve">ממשית </w:t>
      </w:r>
      <w:r>
        <w:rPr>
          <w:rFonts w:hint="cs"/>
          <w:rtl/>
        </w:rPr>
        <w:t>בין מנגנוני קבלת החלטות של עסקים.</w:t>
      </w:r>
      <w:r w:rsidR="002121C7">
        <w:rPr>
          <w:rStyle w:val="FootnoteReference"/>
          <w:rtl/>
        </w:rPr>
        <w:footnoteReference w:id="21"/>
      </w:r>
      <w:r>
        <w:rPr>
          <w:rFonts w:hint="cs"/>
          <w:rtl/>
        </w:rPr>
        <w:t xml:space="preserve">  </w:t>
      </w:r>
    </w:p>
    <w:p w:rsidR="007E35C6" w:rsidRPr="008F76DA" w:rsidRDefault="007E35C6" w:rsidP="008F76DA">
      <w:pPr>
        <w:pStyle w:val="Heading2"/>
        <w:rPr>
          <w:rFonts w:cs="David" w:hint="cs"/>
          <w:i w:val="0"/>
          <w:iCs w:val="0"/>
          <w:rtl/>
        </w:rPr>
      </w:pPr>
      <w:bookmarkStart w:id="10" w:name="_Toc151956806"/>
      <w:r w:rsidRPr="008F76DA">
        <w:rPr>
          <w:rFonts w:cs="David" w:hint="cs"/>
          <w:i w:val="0"/>
          <w:iCs w:val="0"/>
          <w:rtl/>
        </w:rPr>
        <w:t>ג.2. מיזוג על פי הרובד הכללי הרחב</w:t>
      </w:r>
      <w:bookmarkEnd w:id="10"/>
      <w:r w:rsidRPr="008F76DA">
        <w:rPr>
          <w:rFonts w:cs="David" w:hint="cs"/>
          <w:i w:val="0"/>
          <w:iCs w:val="0"/>
          <w:rtl/>
        </w:rPr>
        <w:t xml:space="preserve"> </w:t>
      </w:r>
    </w:p>
    <w:p w:rsidR="007E35C6" w:rsidRDefault="007E35C6" w:rsidP="00B52561">
      <w:pPr>
        <w:pStyle w:val="BodyText2"/>
        <w:spacing w:after="240"/>
        <w:ind w:left="32"/>
        <w:rPr>
          <w:rFonts w:hint="cs"/>
          <w:b/>
          <w:bCs/>
          <w:sz w:val="24"/>
          <w:szCs w:val="24"/>
        </w:rPr>
      </w:pPr>
      <w:r>
        <w:rPr>
          <w:rFonts w:hint="cs"/>
          <w:sz w:val="24"/>
          <w:szCs w:val="24"/>
          <w:rtl/>
        </w:rPr>
        <w:t>כל עסקה היוצרת (או מחזקת</w:t>
      </w:r>
      <w:r w:rsidR="00E55991">
        <w:rPr>
          <w:rFonts w:hint="cs"/>
          <w:sz w:val="24"/>
          <w:szCs w:val="24"/>
          <w:rtl/>
        </w:rPr>
        <w:t xml:space="preserve"> משמעותית</w:t>
      </w:r>
      <w:r>
        <w:rPr>
          <w:rFonts w:hint="cs"/>
          <w:sz w:val="24"/>
          <w:szCs w:val="24"/>
          <w:rtl/>
        </w:rPr>
        <w:t xml:space="preserve">) זיקת השפעה </w:t>
      </w:r>
      <w:r w:rsidR="0091287F">
        <w:rPr>
          <w:rFonts w:hint="cs"/>
          <w:sz w:val="24"/>
          <w:szCs w:val="24"/>
          <w:rtl/>
        </w:rPr>
        <w:t>ממשית ו</w:t>
      </w:r>
      <w:r w:rsidR="002830E3">
        <w:rPr>
          <w:rFonts w:hint="cs"/>
          <w:sz w:val="24"/>
          <w:szCs w:val="24"/>
          <w:rtl/>
        </w:rPr>
        <w:t xml:space="preserve">נמשכת בין </w:t>
      </w:r>
      <w:r>
        <w:rPr>
          <w:rFonts w:hint="cs"/>
          <w:sz w:val="24"/>
          <w:szCs w:val="24"/>
          <w:rtl/>
        </w:rPr>
        <w:t xml:space="preserve">מנגנוני קבלת ההחלטות של העסקים המעורבים בה, במישרין או בעקיפין, נכללת במניין העסקאות עליהן חלה הגדרת "מיזוג חברות". </w:t>
      </w:r>
    </w:p>
    <w:p w:rsidR="00026B53" w:rsidRDefault="007E35C6" w:rsidP="007674DA">
      <w:pPr>
        <w:pStyle w:val="BodyText"/>
        <w:spacing w:after="240"/>
        <w:ind w:left="32"/>
        <w:rPr>
          <w:rFonts w:hint="cs"/>
          <w:rtl/>
        </w:rPr>
      </w:pPr>
      <w:r>
        <w:rPr>
          <w:rFonts w:hint="cs"/>
          <w:rtl/>
        </w:rPr>
        <w:t xml:space="preserve">כפי שמלמדת המילה "לרבות" ברישא של הגדרת "מיזוג חברות" </w:t>
      </w:r>
      <w:r>
        <w:rPr>
          <w:rtl/>
        </w:rPr>
        <w:t>–</w:t>
      </w:r>
      <w:r>
        <w:rPr>
          <w:rFonts w:hint="cs"/>
          <w:rtl/>
        </w:rPr>
        <w:t xml:space="preserve"> מבקש החוק ללכוד בהגדרה זו </w:t>
      </w:r>
      <w:r>
        <w:rPr>
          <w:rtl/>
        </w:rPr>
        <w:t xml:space="preserve">את </w:t>
      </w:r>
      <w:r>
        <w:rPr>
          <w:b/>
          <w:bCs/>
          <w:rtl/>
        </w:rPr>
        <w:t>כ</w:t>
      </w:r>
      <w:r>
        <w:rPr>
          <w:rFonts w:hint="cs"/>
          <w:b/>
          <w:bCs/>
          <w:rtl/>
        </w:rPr>
        <w:t>ל</w:t>
      </w:r>
      <w:r>
        <w:rPr>
          <w:rFonts w:hint="cs"/>
          <w:rtl/>
        </w:rPr>
        <w:t xml:space="preserve"> העסקאות המקנות לעסק אחד זיקה מבנית </w:t>
      </w:r>
      <w:r w:rsidR="0091287F">
        <w:rPr>
          <w:rFonts w:hint="cs"/>
          <w:rtl/>
        </w:rPr>
        <w:t xml:space="preserve">ממשית </w:t>
      </w:r>
      <w:r>
        <w:rPr>
          <w:rFonts w:hint="cs"/>
          <w:rtl/>
        </w:rPr>
        <w:t>בעסק אחר</w:t>
      </w:r>
      <w:r w:rsidR="00E55991">
        <w:rPr>
          <w:rFonts w:hint="cs"/>
          <w:rtl/>
        </w:rPr>
        <w:t xml:space="preserve"> (או מחזקות </w:t>
      </w:r>
      <w:r w:rsidR="007674DA">
        <w:rPr>
          <w:rFonts w:hint="cs"/>
          <w:rtl/>
        </w:rPr>
        <w:t xml:space="preserve">במידה שאינה זניחה </w:t>
      </w:r>
      <w:r w:rsidR="00E55991">
        <w:rPr>
          <w:rFonts w:hint="cs"/>
          <w:rtl/>
        </w:rPr>
        <w:t>זיקה קיימת)</w:t>
      </w:r>
      <w:r>
        <w:rPr>
          <w:rFonts w:hint="cs"/>
          <w:rtl/>
        </w:rPr>
        <w:t>, יהא אשר יהא לבושה הפורמלי</w:t>
      </w:r>
      <w:r w:rsidR="002830E3">
        <w:rPr>
          <w:rFonts w:hint="cs"/>
          <w:rtl/>
        </w:rPr>
        <w:t xml:space="preserve"> ותהא אשר תהא טכניקת יצירתה של הזיקה</w:t>
      </w:r>
      <w:r w:rsidR="00E55991">
        <w:rPr>
          <w:rFonts w:hint="cs"/>
          <w:rtl/>
        </w:rPr>
        <w:t xml:space="preserve">. </w:t>
      </w:r>
    </w:p>
    <w:p w:rsidR="007E35C6" w:rsidRDefault="007E35C6" w:rsidP="002121C7">
      <w:pPr>
        <w:pStyle w:val="BodyText"/>
        <w:spacing w:after="240"/>
        <w:ind w:left="32"/>
        <w:rPr>
          <w:rFonts w:hint="cs"/>
          <w:rtl/>
        </w:rPr>
      </w:pPr>
      <w:r>
        <w:rPr>
          <w:rFonts w:hint="cs"/>
          <w:rtl/>
        </w:rPr>
        <w:t xml:space="preserve">מוקד הפיקוח התחרותי על המיזוגים הוא בעסקאות המקנות לרוכש </w:t>
      </w:r>
      <w:r w:rsidRPr="00111010">
        <w:rPr>
          <w:rFonts w:hint="cs"/>
          <w:b/>
          <w:bCs/>
          <w:rtl/>
        </w:rPr>
        <w:t>אחיזה בעסק הנרכש</w:t>
      </w:r>
      <w:r>
        <w:rPr>
          <w:rFonts w:hint="cs"/>
          <w:rtl/>
        </w:rPr>
        <w:t xml:space="preserve">, שגלום בה כוח השפעה פוטנציאלי על התנהלות העסק הנרכש או פוטנציאל השפעה </w:t>
      </w:r>
      <w:r w:rsidR="0091287F">
        <w:rPr>
          <w:rFonts w:hint="cs"/>
          <w:rtl/>
        </w:rPr>
        <w:t>ממשי</w:t>
      </w:r>
      <w:r w:rsidR="00693D82">
        <w:rPr>
          <w:rFonts w:hint="cs"/>
          <w:rtl/>
        </w:rPr>
        <w:t>ת</w:t>
      </w:r>
      <w:r w:rsidR="0091287F">
        <w:rPr>
          <w:rFonts w:hint="cs"/>
          <w:rtl/>
        </w:rPr>
        <w:t xml:space="preserve"> </w:t>
      </w:r>
      <w:r>
        <w:rPr>
          <w:rFonts w:hint="cs"/>
          <w:rtl/>
        </w:rPr>
        <w:t>על התנהלותו העסקית של העסק הרוכש.</w:t>
      </w:r>
      <w:r w:rsidR="002121C7">
        <w:rPr>
          <w:rFonts w:hint="cs"/>
          <w:rtl/>
        </w:rPr>
        <w:t xml:space="preserve"> </w:t>
      </w:r>
      <w:r>
        <w:rPr>
          <w:rFonts w:hint="cs"/>
          <w:rtl/>
        </w:rPr>
        <w:t xml:space="preserve">על עסקאות אלה נמנות כמובן עסקאות שעניינן בהקניה (בפועל או בכוח) של שליטה מלאה או </w:t>
      </w:r>
      <w:r w:rsidRPr="00111010">
        <w:rPr>
          <w:rFonts w:hint="cs"/>
          <w:rtl/>
        </w:rPr>
        <w:t>חלקית</w:t>
      </w:r>
      <w:r w:rsidRPr="00111010">
        <w:rPr>
          <w:rStyle w:val="FootnoteReference"/>
        </w:rPr>
        <w:t xml:space="preserve"> </w:t>
      </w:r>
      <w:r>
        <w:rPr>
          <w:rStyle w:val="FootnoteReference"/>
        </w:rPr>
        <w:footnoteReference w:id="22"/>
      </w:r>
      <w:r>
        <w:rPr>
          <w:rFonts w:hint="cs"/>
          <w:rtl/>
        </w:rPr>
        <w:t xml:space="preserve">בעסק הנרכש, לצורותיה השונות (שליטת יחיד, שותפות בדבוקת שליטה, זכות להשתתף בשליטה בכלל או בסוג החלטות מסוים או שליטה שלילית </w:t>
      </w:r>
      <w:r>
        <w:rPr>
          <w:rtl/>
        </w:rPr>
        <w:t>–</w:t>
      </w:r>
      <w:r>
        <w:rPr>
          <w:rFonts w:hint="cs"/>
          <w:rtl/>
        </w:rPr>
        <w:t xml:space="preserve"> היכולת למנוע קבלת החלטות).</w:t>
      </w:r>
      <w:r w:rsidRPr="00111010">
        <w:rPr>
          <w:rStyle w:val="FootnoteReference"/>
          <w:szCs w:val="22"/>
        </w:rPr>
        <w:t xml:space="preserve"> </w:t>
      </w:r>
      <w:r w:rsidRPr="00115B6E">
        <w:rPr>
          <w:rStyle w:val="FootnoteReference"/>
          <w:szCs w:val="22"/>
        </w:rPr>
        <w:footnoteReference w:id="23"/>
      </w:r>
      <w:r>
        <w:rPr>
          <w:rFonts w:hint="cs"/>
          <w:rtl/>
        </w:rPr>
        <w:t xml:space="preserve">   </w:t>
      </w:r>
    </w:p>
    <w:p w:rsidR="007E35C6" w:rsidRDefault="007E35C6" w:rsidP="00B52561">
      <w:pPr>
        <w:pStyle w:val="BodyText"/>
        <w:spacing w:after="240"/>
        <w:ind w:left="32"/>
        <w:rPr>
          <w:rFonts w:hint="cs"/>
          <w:rtl/>
        </w:rPr>
      </w:pPr>
      <w:r>
        <w:rPr>
          <w:rFonts w:hint="cs"/>
          <w:rtl/>
        </w:rPr>
        <w:t>ברור אפוא</w:t>
      </w:r>
      <w:r w:rsidR="00CB1CE6">
        <w:rPr>
          <w:rFonts w:hint="cs"/>
          <w:rtl/>
        </w:rPr>
        <w:t>,</w:t>
      </w:r>
      <w:r>
        <w:rPr>
          <w:rFonts w:hint="cs"/>
          <w:rtl/>
        </w:rPr>
        <w:t xml:space="preserve"> שהרובד הכללי הרחב לוכד את אותם מצבים בהם מקבל עסק אחד דריסת רגל משמעותית בעסק אחר, אף אם טכניקת יצירתה של הזיקה המבנית אינה נמנית על רשימת המקרים הפרטניים המנויים בהגדרה.  להלן רשימה לא ממצה של מצבים אלה:</w:t>
      </w:r>
    </w:p>
    <w:p w:rsidR="007E35C6" w:rsidRPr="007674DA" w:rsidRDefault="007E35C6" w:rsidP="00B52561">
      <w:pPr>
        <w:pStyle w:val="BodyText"/>
        <w:numPr>
          <w:ilvl w:val="0"/>
          <w:numId w:val="10"/>
        </w:numPr>
        <w:spacing w:after="240"/>
        <w:ind w:left="32" w:right="0" w:firstLine="0"/>
        <w:rPr>
          <w:rFonts w:hint="cs"/>
          <w:sz w:val="24"/>
        </w:rPr>
      </w:pPr>
      <w:r>
        <w:rPr>
          <w:rFonts w:hint="cs"/>
          <w:szCs w:val="22"/>
          <w:rtl/>
        </w:rPr>
        <w:t xml:space="preserve">מקרה </w:t>
      </w:r>
      <w:r w:rsidRPr="007674DA">
        <w:rPr>
          <w:rFonts w:hint="cs"/>
          <w:sz w:val="24"/>
          <w:rtl/>
        </w:rPr>
        <w:t xml:space="preserve">בו דריסת הרגל אינה "נרכשת" אלא ניתנת </w:t>
      </w:r>
      <w:r w:rsidR="00191849" w:rsidRPr="007674DA">
        <w:rPr>
          <w:rFonts w:hint="cs"/>
          <w:sz w:val="24"/>
          <w:rtl/>
        </w:rPr>
        <w:t xml:space="preserve">או מוקנית </w:t>
      </w:r>
      <w:r w:rsidRPr="007674DA">
        <w:rPr>
          <w:rFonts w:hint="cs"/>
          <w:sz w:val="24"/>
          <w:rtl/>
        </w:rPr>
        <w:t xml:space="preserve">בדרך אחרת (שלא בעד תמורה, בהעברה, המחאה, </w:t>
      </w:r>
      <w:r w:rsidR="00191849" w:rsidRPr="007674DA">
        <w:rPr>
          <w:rFonts w:hint="cs"/>
          <w:sz w:val="24"/>
          <w:rtl/>
        </w:rPr>
        <w:t>הסבה ו</w:t>
      </w:r>
      <w:r w:rsidRPr="007674DA">
        <w:rPr>
          <w:rFonts w:hint="cs"/>
          <w:sz w:val="24"/>
          <w:rtl/>
        </w:rPr>
        <w:t>כיוצא באלה)</w:t>
      </w:r>
      <w:r w:rsidR="00191849" w:rsidRPr="007674DA">
        <w:rPr>
          <w:rFonts w:hint="cs"/>
          <w:sz w:val="24"/>
          <w:rtl/>
        </w:rPr>
        <w:t>.</w:t>
      </w:r>
      <w:r w:rsidR="0028420E" w:rsidRPr="007674DA">
        <w:rPr>
          <w:rFonts w:hint="cs"/>
          <w:sz w:val="24"/>
          <w:rtl/>
        </w:rPr>
        <w:t xml:space="preserve"> </w:t>
      </w:r>
      <w:r w:rsidR="00191849" w:rsidRPr="007674DA">
        <w:rPr>
          <w:rFonts w:hint="cs"/>
          <w:sz w:val="24"/>
          <w:rtl/>
        </w:rPr>
        <w:t xml:space="preserve">עניינו של החוק הוא </w:t>
      </w:r>
      <w:r w:rsidR="00191849" w:rsidRPr="007674DA">
        <w:rPr>
          <w:rFonts w:hint="cs"/>
          <w:b/>
          <w:bCs/>
          <w:sz w:val="24"/>
          <w:rtl/>
        </w:rPr>
        <w:t>ב</w:t>
      </w:r>
      <w:r w:rsidR="0028420E" w:rsidRPr="007674DA">
        <w:rPr>
          <w:rFonts w:hint="cs"/>
          <w:b/>
          <w:bCs/>
          <w:sz w:val="24"/>
          <w:rtl/>
        </w:rPr>
        <w:t>תוצאה</w:t>
      </w:r>
      <w:r w:rsidR="0028420E" w:rsidRPr="007674DA">
        <w:rPr>
          <w:rFonts w:hint="cs"/>
          <w:sz w:val="24"/>
          <w:rtl/>
        </w:rPr>
        <w:t xml:space="preserve"> (זיקה מבנית בין חברות)  ולא </w:t>
      </w:r>
      <w:r w:rsidR="0028420E" w:rsidRPr="007674DA">
        <w:rPr>
          <w:rFonts w:hint="cs"/>
          <w:b/>
          <w:bCs/>
          <w:sz w:val="24"/>
          <w:rtl/>
        </w:rPr>
        <w:t>בדרך</w:t>
      </w:r>
      <w:r w:rsidR="0028420E" w:rsidRPr="007674DA">
        <w:rPr>
          <w:rFonts w:hint="cs"/>
          <w:sz w:val="24"/>
          <w:rtl/>
        </w:rPr>
        <w:t xml:space="preserve"> שהובילה אליה</w:t>
      </w:r>
      <w:r w:rsidRPr="007674DA">
        <w:rPr>
          <w:rFonts w:hint="cs"/>
          <w:sz w:val="24"/>
          <w:rtl/>
        </w:rPr>
        <w:t>;</w:t>
      </w:r>
    </w:p>
    <w:p w:rsidR="007E35C6" w:rsidRPr="007674DA" w:rsidRDefault="007E35C6" w:rsidP="0091287F">
      <w:pPr>
        <w:pStyle w:val="BodyText"/>
        <w:numPr>
          <w:ilvl w:val="0"/>
          <w:numId w:val="10"/>
        </w:numPr>
        <w:spacing w:after="240"/>
        <w:ind w:left="32" w:right="0" w:firstLine="0"/>
        <w:rPr>
          <w:rFonts w:hint="cs"/>
          <w:sz w:val="24"/>
        </w:rPr>
      </w:pPr>
      <w:r w:rsidRPr="007674DA">
        <w:rPr>
          <w:rFonts w:hint="cs"/>
          <w:sz w:val="24"/>
          <w:rtl/>
        </w:rPr>
        <w:t xml:space="preserve">מקרים בהם </w:t>
      </w:r>
      <w:r w:rsidR="00245A9A" w:rsidRPr="007674DA">
        <w:rPr>
          <w:rFonts w:hint="cs"/>
          <w:sz w:val="24"/>
          <w:rtl/>
        </w:rPr>
        <w:t>הרכישה מקנה לרוכש פחות מרבע מסוג זכויות</w:t>
      </w:r>
      <w:r w:rsidRPr="007674DA">
        <w:rPr>
          <w:rFonts w:hint="cs"/>
          <w:sz w:val="24"/>
          <w:rtl/>
        </w:rPr>
        <w:t>, אך בגלל ביזור רב של יתר ההחזקות בחברה הנרכשת, ניתנת למעשה בידי הרוכש דריסת רגל מ</w:t>
      </w:r>
      <w:r w:rsidR="0091287F" w:rsidRPr="007674DA">
        <w:rPr>
          <w:rFonts w:hint="cs"/>
          <w:sz w:val="24"/>
          <w:rtl/>
        </w:rPr>
        <w:t xml:space="preserve">משית </w:t>
      </w:r>
      <w:r w:rsidRPr="007674DA">
        <w:rPr>
          <w:rFonts w:hint="cs"/>
          <w:sz w:val="24"/>
          <w:rtl/>
        </w:rPr>
        <w:t xml:space="preserve"> בחברה בהיותו, למשל, בעל המניות הגדול ביותר</w:t>
      </w:r>
      <w:r w:rsidR="00013F01" w:rsidRPr="007674DA">
        <w:rPr>
          <w:rFonts w:hint="cs"/>
          <w:sz w:val="24"/>
          <w:rtl/>
        </w:rPr>
        <w:t>;</w:t>
      </w:r>
      <w:r w:rsidRPr="007674DA">
        <w:rPr>
          <w:rStyle w:val="FootnoteReference"/>
          <w:sz w:val="24"/>
          <w:rtl/>
        </w:rPr>
        <w:footnoteReference w:id="24"/>
      </w:r>
    </w:p>
    <w:p w:rsidR="007E35C6" w:rsidRPr="007674DA" w:rsidRDefault="007E35C6" w:rsidP="00B52561">
      <w:pPr>
        <w:pStyle w:val="BodyText"/>
        <w:numPr>
          <w:ilvl w:val="0"/>
          <w:numId w:val="10"/>
        </w:numPr>
        <w:spacing w:after="240"/>
        <w:ind w:left="32" w:right="0" w:firstLine="0"/>
        <w:rPr>
          <w:rFonts w:hint="cs"/>
          <w:sz w:val="24"/>
        </w:rPr>
      </w:pPr>
      <w:r w:rsidRPr="007674DA">
        <w:rPr>
          <w:rFonts w:hint="cs"/>
          <w:sz w:val="24"/>
          <w:rtl/>
        </w:rPr>
        <w:t xml:space="preserve">מקרים בהם </w:t>
      </w:r>
      <w:r w:rsidR="0035562F" w:rsidRPr="007674DA">
        <w:rPr>
          <w:rFonts w:hint="cs"/>
          <w:sz w:val="24"/>
          <w:rtl/>
        </w:rPr>
        <w:t xml:space="preserve">מקנה רכישה החזקה של למעלה </w:t>
      </w:r>
      <w:r w:rsidRPr="007674DA">
        <w:rPr>
          <w:rFonts w:hint="cs"/>
          <w:sz w:val="24"/>
          <w:rtl/>
        </w:rPr>
        <w:t xml:space="preserve">מרבע מסוג כלשהו </w:t>
      </w:r>
      <w:r w:rsidR="00CB1CE6" w:rsidRPr="007674DA">
        <w:rPr>
          <w:rFonts w:hint="cs"/>
          <w:sz w:val="24"/>
          <w:rtl/>
        </w:rPr>
        <w:t xml:space="preserve">של </w:t>
      </w:r>
      <w:r w:rsidRPr="007674DA">
        <w:rPr>
          <w:rFonts w:hint="cs"/>
          <w:sz w:val="24"/>
          <w:rtl/>
        </w:rPr>
        <w:t>זכות בתאגיד</w:t>
      </w:r>
      <w:r w:rsidR="0035562F" w:rsidRPr="007674DA">
        <w:rPr>
          <w:rFonts w:hint="cs"/>
          <w:sz w:val="24"/>
          <w:rtl/>
        </w:rPr>
        <w:t xml:space="preserve"> לקבוצת רוכשים</w:t>
      </w:r>
      <w:r w:rsidRPr="007674DA">
        <w:rPr>
          <w:rFonts w:hint="cs"/>
          <w:sz w:val="24"/>
          <w:rtl/>
        </w:rPr>
        <w:t xml:space="preserve">, אך </w:t>
      </w:r>
      <w:r w:rsidR="0035562F" w:rsidRPr="007674DA">
        <w:rPr>
          <w:rFonts w:hint="cs"/>
          <w:sz w:val="24"/>
          <w:rtl/>
        </w:rPr>
        <w:t xml:space="preserve">אף אחד מהם אינו חוצה באופן עצמאי </w:t>
      </w:r>
      <w:r w:rsidRPr="007674DA">
        <w:rPr>
          <w:rFonts w:hint="cs"/>
          <w:sz w:val="24"/>
          <w:rtl/>
        </w:rPr>
        <w:t>את סף הרבע מזכות כלשהי וקיים קשר בין הרוכשים</w:t>
      </w:r>
      <w:r w:rsidR="00013F01" w:rsidRPr="007674DA">
        <w:rPr>
          <w:rFonts w:hint="cs"/>
          <w:sz w:val="24"/>
          <w:rtl/>
        </w:rPr>
        <w:t>;</w:t>
      </w:r>
      <w:r w:rsidRPr="007674DA">
        <w:rPr>
          <w:rStyle w:val="FootnoteReference"/>
          <w:sz w:val="24"/>
        </w:rPr>
        <w:footnoteReference w:id="25"/>
      </w:r>
      <w:r w:rsidRPr="007674DA">
        <w:rPr>
          <w:rFonts w:hint="cs"/>
          <w:sz w:val="24"/>
          <w:rtl/>
        </w:rPr>
        <w:t xml:space="preserve"> </w:t>
      </w:r>
    </w:p>
    <w:p w:rsidR="007E35C6" w:rsidRPr="007674DA" w:rsidRDefault="007E35C6" w:rsidP="00C0167C">
      <w:pPr>
        <w:pStyle w:val="BodyText"/>
        <w:numPr>
          <w:ilvl w:val="0"/>
          <w:numId w:val="10"/>
        </w:numPr>
        <w:spacing w:after="240"/>
        <w:ind w:left="32" w:right="0" w:firstLine="0"/>
        <w:rPr>
          <w:rFonts w:hint="cs"/>
          <w:sz w:val="24"/>
        </w:rPr>
      </w:pPr>
      <w:r w:rsidRPr="007674DA">
        <w:rPr>
          <w:rFonts w:hint="cs"/>
          <w:sz w:val="24"/>
          <w:rtl/>
        </w:rPr>
        <w:t xml:space="preserve">מקרים בהם </w:t>
      </w:r>
      <w:r w:rsidR="0035562F" w:rsidRPr="007674DA">
        <w:rPr>
          <w:rFonts w:hint="cs"/>
          <w:sz w:val="24"/>
          <w:rtl/>
        </w:rPr>
        <w:t xml:space="preserve">הרכישה מקנה למעלה מרבע </w:t>
      </w:r>
      <w:r w:rsidRPr="007674DA">
        <w:rPr>
          <w:rFonts w:hint="cs"/>
          <w:sz w:val="24"/>
          <w:rtl/>
        </w:rPr>
        <w:t xml:space="preserve">מזכות אחרת שאינה נמנית על הזכויות הקונקרטיות המנויות בהגדרה (מעל רבע מההון המונפק, זכות ההצבעה, זכות למינוי </w:t>
      </w:r>
      <w:r w:rsidR="00C0167C" w:rsidRPr="007674DA">
        <w:rPr>
          <w:rFonts w:hint="cs"/>
          <w:sz w:val="24"/>
          <w:rtl/>
        </w:rPr>
        <w:t>דירקטורים</w:t>
      </w:r>
      <w:r w:rsidRPr="007674DA">
        <w:rPr>
          <w:rFonts w:hint="cs"/>
          <w:sz w:val="24"/>
          <w:rtl/>
        </w:rPr>
        <w:t>, זכות להשתתפות ברווחים) אך החבילה הנרכשת מקנה לרוכש דריסת רגל מ</w:t>
      </w:r>
      <w:r w:rsidR="00107C18" w:rsidRPr="007674DA">
        <w:rPr>
          <w:rFonts w:hint="cs"/>
          <w:sz w:val="24"/>
          <w:rtl/>
        </w:rPr>
        <w:t xml:space="preserve">משית </w:t>
      </w:r>
      <w:r w:rsidRPr="007674DA">
        <w:rPr>
          <w:rFonts w:hint="cs"/>
          <w:sz w:val="24"/>
          <w:rtl/>
        </w:rPr>
        <w:t xml:space="preserve"> בענייניה המסחריים של החברה הנרכשת</w:t>
      </w:r>
      <w:r w:rsidR="00013F01" w:rsidRPr="007674DA">
        <w:rPr>
          <w:rFonts w:hint="cs"/>
          <w:sz w:val="24"/>
          <w:rtl/>
        </w:rPr>
        <w:t>;</w:t>
      </w:r>
    </w:p>
    <w:p w:rsidR="007E35C6" w:rsidRPr="007674DA" w:rsidRDefault="007E35C6" w:rsidP="00B52561">
      <w:pPr>
        <w:pStyle w:val="BodyText"/>
        <w:numPr>
          <w:ilvl w:val="0"/>
          <w:numId w:val="10"/>
        </w:numPr>
        <w:spacing w:after="240"/>
        <w:ind w:left="32" w:right="0" w:firstLine="0"/>
        <w:rPr>
          <w:rFonts w:hint="cs"/>
          <w:sz w:val="24"/>
        </w:rPr>
      </w:pPr>
      <w:r w:rsidRPr="007674DA">
        <w:rPr>
          <w:rFonts w:hint="cs"/>
          <w:sz w:val="24"/>
          <w:rtl/>
        </w:rPr>
        <w:t>מקרה בו השליטה אינה מועברת בין "חברות" אלא באמצעות אדם בשר ודם שבשליטתו עסק או עסקים העונים להגדרת "חברה"</w:t>
      </w:r>
      <w:r w:rsidR="00013F01" w:rsidRPr="007674DA">
        <w:rPr>
          <w:rFonts w:hint="cs"/>
          <w:sz w:val="24"/>
          <w:rtl/>
        </w:rPr>
        <w:t>;</w:t>
      </w:r>
      <w:r w:rsidRPr="007674DA">
        <w:rPr>
          <w:rStyle w:val="FootnoteReference"/>
          <w:sz w:val="24"/>
          <w:rtl/>
        </w:rPr>
        <w:footnoteReference w:id="26"/>
      </w:r>
      <w:r w:rsidRPr="007674DA">
        <w:rPr>
          <w:rFonts w:hint="cs"/>
          <w:sz w:val="24"/>
          <w:rtl/>
        </w:rPr>
        <w:t xml:space="preserve">  </w:t>
      </w:r>
    </w:p>
    <w:p w:rsidR="007E35C6" w:rsidRPr="007674DA" w:rsidRDefault="007E35C6" w:rsidP="00107C18">
      <w:pPr>
        <w:pStyle w:val="BodyText"/>
        <w:numPr>
          <w:ilvl w:val="0"/>
          <w:numId w:val="10"/>
        </w:numPr>
        <w:spacing w:after="240"/>
        <w:ind w:left="32" w:right="0" w:firstLine="0"/>
        <w:rPr>
          <w:rFonts w:hint="cs"/>
          <w:b/>
          <w:bCs/>
          <w:sz w:val="24"/>
        </w:rPr>
      </w:pPr>
      <w:r w:rsidRPr="007674DA">
        <w:rPr>
          <w:rFonts w:hint="cs"/>
          <w:sz w:val="24"/>
          <w:rtl/>
        </w:rPr>
        <w:t xml:space="preserve">מקרים בהם ניתנת לאדם זכות להשתתף </w:t>
      </w:r>
      <w:r w:rsidR="00107C18" w:rsidRPr="007674DA">
        <w:rPr>
          <w:rFonts w:hint="cs"/>
          <w:sz w:val="24"/>
          <w:rtl/>
        </w:rPr>
        <w:t xml:space="preserve">ולהשפיע ממשית על </w:t>
      </w:r>
      <w:r w:rsidRPr="007674DA">
        <w:rPr>
          <w:rFonts w:hint="cs"/>
          <w:sz w:val="24"/>
          <w:rtl/>
        </w:rPr>
        <w:t>קבלת החלטות בחברה (בכלל או מסוג מסוים) או למונען, שלא בתור בעל מניות כלשהן, אלא על פי חוזה</w:t>
      </w:r>
      <w:r w:rsidR="00013F01" w:rsidRPr="007674DA">
        <w:rPr>
          <w:rFonts w:hint="cs"/>
          <w:sz w:val="24"/>
          <w:rtl/>
        </w:rPr>
        <w:t>.</w:t>
      </w:r>
      <w:r w:rsidRPr="007674DA">
        <w:rPr>
          <w:rStyle w:val="FootnoteReference"/>
          <w:sz w:val="24"/>
          <w:rtl/>
        </w:rPr>
        <w:footnoteReference w:id="27"/>
      </w:r>
    </w:p>
    <w:p w:rsidR="00E55991" w:rsidRDefault="007E35C6" w:rsidP="00107C18">
      <w:pPr>
        <w:pStyle w:val="BodyText"/>
        <w:spacing w:after="240"/>
        <w:ind w:left="32"/>
        <w:rPr>
          <w:rFonts w:hint="cs"/>
          <w:rtl/>
        </w:rPr>
      </w:pPr>
      <w:r>
        <w:rPr>
          <w:rFonts w:hint="cs"/>
          <w:rtl/>
        </w:rPr>
        <w:t xml:space="preserve">הרציונל שביסוד הפיקוח על המיזוגים גוזר מתן פרשנות רחבה להגדרת "מיזוג חברות" כך שההגדרה תחול על כל סיטואציה </w:t>
      </w:r>
      <w:r w:rsidR="00E55991">
        <w:rPr>
          <w:rFonts w:hint="cs"/>
          <w:rtl/>
        </w:rPr>
        <w:t xml:space="preserve">שבה משיג עסק אחד כוח </w:t>
      </w:r>
      <w:r>
        <w:rPr>
          <w:rFonts w:hint="cs"/>
          <w:rtl/>
        </w:rPr>
        <w:t>לשלוט</w:t>
      </w:r>
      <w:r w:rsidR="00B123F1">
        <w:rPr>
          <w:rFonts w:hint="cs"/>
          <w:rtl/>
        </w:rPr>
        <w:t xml:space="preserve">, או להשפיע </w:t>
      </w:r>
      <w:r w:rsidR="00107C18">
        <w:rPr>
          <w:rFonts w:hint="cs"/>
          <w:rtl/>
        </w:rPr>
        <w:t xml:space="preserve">באופן ממשי </w:t>
      </w:r>
      <w:r w:rsidR="00B123F1">
        <w:rPr>
          <w:rFonts w:hint="cs"/>
          <w:rtl/>
        </w:rPr>
        <w:t xml:space="preserve">על </w:t>
      </w:r>
      <w:r>
        <w:rPr>
          <w:rFonts w:hint="cs"/>
          <w:rtl/>
        </w:rPr>
        <w:t xml:space="preserve">הליכי קבלת </w:t>
      </w:r>
      <w:r w:rsidR="00B123F1">
        <w:rPr>
          <w:rFonts w:hint="cs"/>
          <w:rtl/>
        </w:rPr>
        <w:t>ה</w:t>
      </w:r>
      <w:r>
        <w:rPr>
          <w:rFonts w:hint="cs"/>
          <w:rtl/>
        </w:rPr>
        <w:t xml:space="preserve">החלטות הנוגעות להתנהלות העסקית של עסק </w:t>
      </w:r>
      <w:r w:rsidR="00E55991">
        <w:rPr>
          <w:rFonts w:hint="cs"/>
          <w:rtl/>
        </w:rPr>
        <w:t xml:space="preserve">אחר. </w:t>
      </w:r>
    </w:p>
    <w:p w:rsidR="00E55991" w:rsidRDefault="00E55991" w:rsidP="00B52561">
      <w:pPr>
        <w:pStyle w:val="BodyText"/>
        <w:spacing w:after="240"/>
        <w:ind w:left="32"/>
        <w:rPr>
          <w:rFonts w:hint="cs"/>
          <w:rtl/>
        </w:rPr>
      </w:pPr>
    </w:p>
    <w:p w:rsidR="007E35C6" w:rsidRPr="008F76DA" w:rsidRDefault="007E35C6" w:rsidP="008F76DA">
      <w:pPr>
        <w:pStyle w:val="Heading2"/>
        <w:rPr>
          <w:rFonts w:cs="David" w:hint="cs"/>
          <w:i w:val="0"/>
          <w:iCs w:val="0"/>
          <w:rtl/>
        </w:rPr>
      </w:pPr>
      <w:bookmarkStart w:id="11" w:name="_Toc151956807"/>
      <w:r w:rsidRPr="008F76DA">
        <w:rPr>
          <w:rFonts w:cs="David" w:hint="cs"/>
          <w:i w:val="0"/>
          <w:iCs w:val="0"/>
          <w:rtl/>
        </w:rPr>
        <w:t>ג.3. המקרים הפרטניים המקימים מיזוג חברות</w:t>
      </w:r>
      <w:bookmarkEnd w:id="11"/>
    </w:p>
    <w:p w:rsidR="007E35C6" w:rsidRDefault="007E35C6" w:rsidP="00B52561">
      <w:pPr>
        <w:spacing w:after="240"/>
        <w:ind w:left="32"/>
        <w:rPr>
          <w:rtl/>
        </w:rPr>
      </w:pPr>
      <w:r>
        <w:rPr>
          <w:rtl/>
        </w:rPr>
        <w:t>בנוסף ל</w:t>
      </w:r>
      <w:r>
        <w:rPr>
          <w:rFonts w:hint="cs"/>
          <w:rtl/>
        </w:rPr>
        <w:t xml:space="preserve">רובד הרחב, החבוי מאחורי מילות הגדרת מיזוג חברות שבסעיף 1 לחוק, </w:t>
      </w:r>
      <w:r>
        <w:rPr>
          <w:rtl/>
        </w:rPr>
        <w:t xml:space="preserve">קובע החוק </w:t>
      </w:r>
      <w:r>
        <w:rPr>
          <w:rFonts w:hint="cs"/>
          <w:rtl/>
        </w:rPr>
        <w:t xml:space="preserve">במפורש, בהגדרה, מספר מצבים ספציפיים שבהם מתקיים </w:t>
      </w:r>
      <w:r w:rsidR="00B123F1" w:rsidRPr="00B123F1">
        <w:rPr>
          <w:rFonts w:hint="cs"/>
          <w:b/>
          <w:bCs/>
          <w:rtl/>
        </w:rPr>
        <w:t>בהכרח</w:t>
      </w:r>
      <w:r w:rsidR="00B123F1">
        <w:rPr>
          <w:rFonts w:hint="cs"/>
          <w:rtl/>
        </w:rPr>
        <w:t xml:space="preserve"> </w:t>
      </w:r>
      <w:r>
        <w:rPr>
          <w:rFonts w:hint="cs"/>
          <w:rtl/>
        </w:rPr>
        <w:t>"</w:t>
      </w:r>
      <w:r>
        <w:rPr>
          <w:rtl/>
        </w:rPr>
        <w:t>מיזוג חברות</w:t>
      </w:r>
      <w:r w:rsidR="001F2F5D">
        <w:rPr>
          <w:rFonts w:hint="cs"/>
          <w:rtl/>
        </w:rPr>
        <w:t xml:space="preserve">", </w:t>
      </w:r>
      <w:r>
        <w:rPr>
          <w:rFonts w:hint="cs"/>
          <w:rtl/>
        </w:rPr>
        <w:t>ואלה המצבים</w:t>
      </w:r>
      <w:r>
        <w:rPr>
          <w:rtl/>
        </w:rPr>
        <w:t>:</w:t>
      </w:r>
    </w:p>
    <w:p w:rsidR="007E35C6" w:rsidRDefault="007E35C6" w:rsidP="00055C82">
      <w:pPr>
        <w:numPr>
          <w:ilvl w:val="0"/>
          <w:numId w:val="39"/>
        </w:numPr>
        <w:rPr>
          <w:rFonts w:hint="cs"/>
          <w:rtl/>
        </w:rPr>
      </w:pPr>
      <w:r>
        <w:rPr>
          <w:rtl/>
        </w:rPr>
        <w:t>רכישת עיקר נכסי</w:t>
      </w:r>
      <w:r>
        <w:rPr>
          <w:rFonts w:hint="cs"/>
          <w:rtl/>
        </w:rPr>
        <w:t xml:space="preserve"> תא</w:t>
      </w:r>
      <w:r>
        <w:rPr>
          <w:rtl/>
        </w:rPr>
        <w:t>גיד;</w:t>
      </w:r>
      <w:r>
        <w:rPr>
          <w:rFonts w:hint="cs"/>
          <w:rtl/>
        </w:rPr>
        <w:t xml:space="preserve"> </w:t>
      </w:r>
    </w:p>
    <w:p w:rsidR="007E35C6" w:rsidRDefault="007E35C6" w:rsidP="00055C82">
      <w:pPr>
        <w:numPr>
          <w:ilvl w:val="0"/>
          <w:numId w:val="39"/>
        </w:numPr>
        <w:rPr>
          <w:rFonts w:hint="cs"/>
        </w:rPr>
      </w:pPr>
      <w:r>
        <w:rPr>
          <w:rtl/>
        </w:rPr>
        <w:t>רכישת מניות בתאגיד</w:t>
      </w:r>
      <w:r w:rsidR="00A16A01">
        <w:rPr>
          <w:rFonts w:hint="cs"/>
          <w:rtl/>
        </w:rPr>
        <w:t>,</w:t>
      </w:r>
      <w:r>
        <w:rPr>
          <w:rtl/>
        </w:rPr>
        <w:t xml:space="preserve"> המקנות לרוכש יותר מרבע מהערך הנקוב של הון </w:t>
      </w:r>
      <w:r w:rsidR="00B123F1">
        <w:rPr>
          <w:rFonts w:hint="cs"/>
          <w:rtl/>
        </w:rPr>
        <w:t>ה</w:t>
      </w:r>
      <w:r>
        <w:rPr>
          <w:rtl/>
        </w:rPr>
        <w:t>מניות המוצא;</w:t>
      </w:r>
      <w:r>
        <w:rPr>
          <w:rFonts w:hint="cs"/>
          <w:rtl/>
        </w:rPr>
        <w:t xml:space="preserve"> </w:t>
      </w:r>
    </w:p>
    <w:p w:rsidR="007E35C6" w:rsidRDefault="007E35C6" w:rsidP="00055C82">
      <w:pPr>
        <w:numPr>
          <w:ilvl w:val="0"/>
          <w:numId w:val="39"/>
        </w:numPr>
        <w:rPr>
          <w:rFonts w:hint="cs"/>
        </w:rPr>
      </w:pPr>
      <w:r>
        <w:rPr>
          <w:rtl/>
        </w:rPr>
        <w:t>רכישת מניות בתאגיד</w:t>
      </w:r>
      <w:r w:rsidR="00A16A01">
        <w:rPr>
          <w:rFonts w:hint="cs"/>
          <w:rtl/>
        </w:rPr>
        <w:t>,</w:t>
      </w:r>
      <w:r>
        <w:rPr>
          <w:rtl/>
        </w:rPr>
        <w:t xml:space="preserve"> המקנות לרוכש יותר מרבע מכוח ההצבעה;</w:t>
      </w:r>
      <w:r>
        <w:rPr>
          <w:rFonts w:hint="cs"/>
          <w:rtl/>
        </w:rPr>
        <w:t xml:space="preserve"> </w:t>
      </w:r>
    </w:p>
    <w:p w:rsidR="007E35C6" w:rsidRDefault="007E35C6" w:rsidP="00055C82">
      <w:pPr>
        <w:numPr>
          <w:ilvl w:val="0"/>
          <w:numId w:val="39"/>
        </w:numPr>
        <w:rPr>
          <w:rFonts w:hint="cs"/>
        </w:rPr>
      </w:pPr>
      <w:r>
        <w:rPr>
          <w:rtl/>
        </w:rPr>
        <w:t>רכישת מניות בתאגיד</w:t>
      </w:r>
      <w:r w:rsidR="00A16A01">
        <w:rPr>
          <w:rFonts w:hint="cs"/>
          <w:rtl/>
        </w:rPr>
        <w:t>,</w:t>
      </w:r>
      <w:r>
        <w:rPr>
          <w:rtl/>
        </w:rPr>
        <w:t xml:space="preserve"> המקנות לרוכש כוח למנות יותר מרבע מהדירקטורים;</w:t>
      </w:r>
      <w:r>
        <w:rPr>
          <w:rFonts w:hint="cs"/>
          <w:rtl/>
        </w:rPr>
        <w:t xml:space="preserve">  </w:t>
      </w:r>
    </w:p>
    <w:p w:rsidR="007E35C6" w:rsidRDefault="007E35C6" w:rsidP="00055C82">
      <w:pPr>
        <w:numPr>
          <w:ilvl w:val="0"/>
          <w:numId w:val="39"/>
        </w:numPr>
        <w:rPr>
          <w:rtl/>
        </w:rPr>
      </w:pPr>
      <w:r>
        <w:rPr>
          <w:rtl/>
        </w:rPr>
        <w:t>רכישת מניות בתאגיד</w:t>
      </w:r>
      <w:r w:rsidR="00A16A01">
        <w:rPr>
          <w:rFonts w:hint="cs"/>
          <w:rtl/>
        </w:rPr>
        <w:t>,</w:t>
      </w:r>
      <w:r>
        <w:rPr>
          <w:rtl/>
        </w:rPr>
        <w:t xml:space="preserve"> המקנות לרוכש השתתפות ביותר מרבע ברווחי התאגיד.</w:t>
      </w:r>
    </w:p>
    <w:p w:rsidR="007E35C6" w:rsidRDefault="007E35C6" w:rsidP="00B52561">
      <w:pPr>
        <w:pStyle w:val="BodyText"/>
        <w:spacing w:after="240"/>
        <w:ind w:left="32"/>
        <w:rPr>
          <w:rFonts w:hint="cs"/>
          <w:rtl/>
        </w:rPr>
      </w:pPr>
      <w:r>
        <w:rPr>
          <w:rFonts w:hint="cs"/>
          <w:rtl/>
        </w:rPr>
        <w:t xml:space="preserve">מצבים פרטניים אלה אינם שוללים </w:t>
      </w:r>
      <w:r>
        <w:rPr>
          <w:rtl/>
        </w:rPr>
        <w:t>את כלליות</w:t>
      </w:r>
      <w:r>
        <w:rPr>
          <w:rFonts w:hint="cs"/>
          <w:rtl/>
        </w:rPr>
        <w:t>ו של הרובד הרחב</w:t>
      </w:r>
      <w:r w:rsidR="00D65B54">
        <w:rPr>
          <w:rFonts w:hint="cs"/>
          <w:rtl/>
        </w:rPr>
        <w:t xml:space="preserve">, אלא רק מייצגים את מצבי המיזוג הטיפוסיים, בבחינת  </w:t>
      </w:r>
      <w:r>
        <w:rPr>
          <w:rFonts w:hint="cs"/>
          <w:rtl/>
        </w:rPr>
        <w:t xml:space="preserve">קונקרטיזציה חלקית של </w:t>
      </w:r>
      <w:r w:rsidR="00D65B54">
        <w:rPr>
          <w:rFonts w:hint="cs"/>
          <w:rtl/>
        </w:rPr>
        <w:t>ה</w:t>
      </w:r>
      <w:r>
        <w:rPr>
          <w:rFonts w:hint="cs"/>
          <w:rtl/>
        </w:rPr>
        <w:t xml:space="preserve">רובד </w:t>
      </w:r>
      <w:r w:rsidR="00D65B54">
        <w:rPr>
          <w:rFonts w:hint="cs"/>
          <w:rtl/>
        </w:rPr>
        <w:t>הכללי הרחב</w:t>
      </w:r>
      <w:r>
        <w:rPr>
          <w:rFonts w:hint="cs"/>
          <w:rtl/>
        </w:rPr>
        <w:t>.</w:t>
      </w:r>
    </w:p>
    <w:p w:rsidR="0069488B" w:rsidRDefault="007E35C6" w:rsidP="00B52561">
      <w:pPr>
        <w:pStyle w:val="BodyText"/>
        <w:spacing w:after="240"/>
        <w:ind w:left="32"/>
        <w:rPr>
          <w:rFonts w:hint="cs"/>
          <w:rtl/>
        </w:rPr>
      </w:pPr>
      <w:r>
        <w:rPr>
          <w:rFonts w:hint="cs"/>
          <w:rtl/>
        </w:rPr>
        <w:t>ברור הדבר כי מרכיב "</w:t>
      </w:r>
      <w:r>
        <w:rPr>
          <w:rFonts w:hint="cs"/>
          <w:b/>
          <w:bCs/>
          <w:rtl/>
        </w:rPr>
        <w:t>הרכישה</w:t>
      </w:r>
      <w:r>
        <w:rPr>
          <w:rFonts w:hint="cs"/>
          <w:rtl/>
        </w:rPr>
        <w:t xml:space="preserve">" אינו מחייב כי תהא זו רכישה מוסכמת על החברה הנרכשת או על בעלי השליטה בה.  גם רכישה במסגרת "השתלטות עוינת" </w:t>
      </w:r>
      <w:r>
        <w:t>(Hostile Takeover)</w:t>
      </w:r>
      <w:r w:rsidR="0069488B">
        <w:rPr>
          <w:rFonts w:hint="cs"/>
          <w:rtl/>
        </w:rPr>
        <w:t xml:space="preserve"> מהווה מיזוג חברות. כל כך, משום שלטכניקה שבאמצעותה משיג עסק אחד זיקת השפעה </w:t>
      </w:r>
      <w:r w:rsidR="00107C18">
        <w:rPr>
          <w:rFonts w:hint="cs"/>
          <w:rtl/>
        </w:rPr>
        <w:t xml:space="preserve">ממשית </w:t>
      </w:r>
      <w:r w:rsidR="0069488B">
        <w:rPr>
          <w:rFonts w:hint="cs"/>
          <w:rtl/>
        </w:rPr>
        <w:t xml:space="preserve">בעסק אחר אין כל חשיבות. באספקלריית התחרות </w:t>
      </w:r>
      <w:r w:rsidR="002476E8">
        <w:rPr>
          <w:rFonts w:hint="cs"/>
          <w:rtl/>
        </w:rPr>
        <w:t>מושם הדגש על קיומה של זיקה, ולא על האמצעי בו הושגה.</w:t>
      </w:r>
      <w:r w:rsidR="0069488B">
        <w:rPr>
          <w:rFonts w:hint="cs"/>
          <w:rtl/>
        </w:rPr>
        <w:t xml:space="preserve"> </w:t>
      </w:r>
      <w:r w:rsidR="00277968">
        <w:rPr>
          <w:rFonts w:hint="cs"/>
          <w:rtl/>
        </w:rPr>
        <w:t xml:space="preserve"> </w:t>
      </w:r>
      <w:r w:rsidR="0069488B">
        <w:rPr>
          <w:rFonts w:hint="cs"/>
          <w:rtl/>
        </w:rPr>
        <w:t xml:space="preserve">  </w:t>
      </w:r>
    </w:p>
    <w:p w:rsidR="007E35C6" w:rsidRDefault="007E35C6" w:rsidP="00B52561">
      <w:pPr>
        <w:pStyle w:val="BodyText"/>
        <w:spacing w:after="240"/>
        <w:ind w:left="32"/>
        <w:rPr>
          <w:rFonts w:hint="cs"/>
          <w:rtl/>
        </w:rPr>
      </w:pPr>
      <w:r>
        <w:rPr>
          <w:rFonts w:hint="cs"/>
          <w:b/>
          <w:bCs/>
          <w:rtl/>
        </w:rPr>
        <w:t xml:space="preserve">"רכישה" </w:t>
      </w:r>
      <w:r>
        <w:rPr>
          <w:b/>
          <w:bCs/>
          <w:rtl/>
        </w:rPr>
        <w:t>–</w:t>
      </w:r>
      <w:r>
        <w:rPr>
          <w:rFonts w:hint="cs"/>
          <w:b/>
          <w:bCs/>
          <w:rtl/>
        </w:rPr>
        <w:t xml:space="preserve"> גם שכירות ארוכה במשמע:</w:t>
      </w:r>
      <w:r>
        <w:rPr>
          <w:rFonts w:hint="cs"/>
          <w:rtl/>
        </w:rPr>
        <w:t xml:space="preserve"> בגדר רכישה </w:t>
      </w:r>
      <w:r w:rsidR="0069488B">
        <w:rPr>
          <w:rFonts w:hint="cs"/>
          <w:rtl/>
        </w:rPr>
        <w:t xml:space="preserve">עשויה לבוא </w:t>
      </w:r>
      <w:r>
        <w:rPr>
          <w:rFonts w:hint="cs"/>
          <w:rtl/>
        </w:rPr>
        <w:t>גם שכירות ארוכת טווח של נכס או זכויות להפעילו</w:t>
      </w:r>
      <w:r w:rsidR="002476E8">
        <w:rPr>
          <w:rFonts w:hint="cs"/>
          <w:rtl/>
        </w:rPr>
        <w:t>. משמע,</w:t>
      </w:r>
      <w:r>
        <w:rPr>
          <w:rFonts w:hint="cs"/>
          <w:rtl/>
        </w:rPr>
        <w:t xml:space="preserve"> אין </w:t>
      </w:r>
      <w:r w:rsidR="002476E8">
        <w:rPr>
          <w:rFonts w:hint="cs"/>
          <w:rtl/>
        </w:rPr>
        <w:t>הכרח</w:t>
      </w:r>
      <w:r>
        <w:rPr>
          <w:rFonts w:hint="cs"/>
          <w:rtl/>
        </w:rPr>
        <w:t xml:space="preserve"> </w:t>
      </w:r>
      <w:r w:rsidR="002476E8">
        <w:rPr>
          <w:rFonts w:hint="cs"/>
          <w:rtl/>
        </w:rPr>
        <w:t>ש</w:t>
      </w:r>
      <w:r>
        <w:rPr>
          <w:rFonts w:hint="cs"/>
          <w:rtl/>
        </w:rPr>
        <w:t xml:space="preserve">הרכישה תהא של הבעלות המלאה בנכס או בזכות ויכול שתהא גם רכישת זכות שימוש שתוצאתה </w:t>
      </w:r>
      <w:r>
        <w:rPr>
          <w:rtl/>
        </w:rPr>
        <w:t>–</w:t>
      </w:r>
      <w:r>
        <w:rPr>
          <w:rFonts w:hint="cs"/>
          <w:rtl/>
        </w:rPr>
        <w:t xml:space="preserve"> שליטה נמשכת על התנהגותו המסחרית של העסק המושכר</w:t>
      </w:r>
      <w:r w:rsidR="00D65B54">
        <w:rPr>
          <w:rFonts w:hint="cs"/>
          <w:rtl/>
        </w:rPr>
        <w:t xml:space="preserve"> (או על הפעילות המועברת, לפי העניין)</w:t>
      </w:r>
      <w:r>
        <w:rPr>
          <w:rFonts w:hint="cs"/>
          <w:rtl/>
        </w:rPr>
        <w:t xml:space="preserve">.  פרשנות זו של הרשות עמדה ביסוד הצו המוסכם אליו הגיע הממונה עם קבוצת דלק בנוגע לשכירות תחנות תדלוק, על ידי חברת דלק, לתקופות העולות על שבע שנים.  במקרה זה </w:t>
      </w:r>
      <w:r w:rsidR="006774B1">
        <w:rPr>
          <w:rFonts w:hint="cs"/>
          <w:rtl/>
        </w:rPr>
        <w:t xml:space="preserve">סבר </w:t>
      </w:r>
      <w:r>
        <w:rPr>
          <w:rFonts w:hint="cs"/>
          <w:rtl/>
        </w:rPr>
        <w:t>הממונה כי מדובר במיזוג חברות.</w:t>
      </w:r>
      <w:r>
        <w:rPr>
          <w:rStyle w:val="FootnoteReference"/>
          <w:rtl/>
        </w:rPr>
        <w:footnoteReference w:id="28"/>
      </w:r>
      <w:r w:rsidR="002476E8">
        <w:rPr>
          <w:rFonts w:hint="cs"/>
          <w:rtl/>
        </w:rPr>
        <w:t xml:space="preserve"> </w:t>
      </w:r>
    </w:p>
    <w:p w:rsidR="007E35C6" w:rsidRDefault="007E35C6" w:rsidP="00B52561">
      <w:pPr>
        <w:pStyle w:val="BodyText"/>
        <w:spacing w:after="240"/>
        <w:ind w:left="32"/>
        <w:rPr>
          <w:rFonts w:hint="cs"/>
          <w:b/>
          <w:bCs/>
          <w:sz w:val="26"/>
          <w:szCs w:val="26"/>
          <w:rtl/>
        </w:rPr>
      </w:pPr>
      <w:r w:rsidRPr="006774B1">
        <w:rPr>
          <w:rFonts w:hint="cs"/>
          <w:b/>
          <w:bCs/>
          <w:sz w:val="26"/>
          <w:szCs w:val="26"/>
          <w:rtl/>
        </w:rPr>
        <w:t>ג.</w:t>
      </w:r>
      <w:r w:rsidR="001F2F5D">
        <w:rPr>
          <w:rFonts w:hint="cs"/>
          <w:b/>
          <w:bCs/>
          <w:sz w:val="26"/>
          <w:szCs w:val="26"/>
          <w:rtl/>
        </w:rPr>
        <w:t>1</w:t>
      </w:r>
      <w:r w:rsidRPr="006774B1">
        <w:rPr>
          <w:rFonts w:hint="cs"/>
          <w:b/>
          <w:bCs/>
          <w:sz w:val="26"/>
          <w:szCs w:val="26"/>
          <w:rtl/>
        </w:rPr>
        <w:t>.</w:t>
      </w:r>
      <w:r w:rsidR="001F2F5D">
        <w:rPr>
          <w:rFonts w:hint="cs"/>
          <w:b/>
          <w:bCs/>
          <w:sz w:val="26"/>
          <w:szCs w:val="26"/>
          <w:rtl/>
        </w:rPr>
        <w:t>3</w:t>
      </w:r>
      <w:r w:rsidRPr="006774B1">
        <w:rPr>
          <w:rFonts w:hint="cs"/>
          <w:b/>
          <w:bCs/>
          <w:sz w:val="26"/>
          <w:szCs w:val="26"/>
          <w:rtl/>
        </w:rPr>
        <w:t>.</w:t>
      </w:r>
      <w:r>
        <w:rPr>
          <w:rFonts w:hint="cs"/>
          <w:b/>
          <w:bCs/>
          <w:sz w:val="26"/>
          <w:szCs w:val="26"/>
          <w:rtl/>
        </w:rPr>
        <w:t xml:space="preserve"> מיזוג על דרך רכישת זכויות </w:t>
      </w:r>
    </w:p>
    <w:p w:rsidR="007E35C6" w:rsidRDefault="007E35C6" w:rsidP="00B52561">
      <w:pPr>
        <w:pStyle w:val="BodyText"/>
        <w:spacing w:after="240"/>
        <w:ind w:left="32"/>
        <w:rPr>
          <w:rFonts w:hint="cs"/>
          <w:rtl/>
        </w:rPr>
      </w:pPr>
      <w:r>
        <w:rPr>
          <w:rFonts w:hint="cs"/>
          <w:rtl/>
        </w:rPr>
        <w:t>חוק ההגבלים העסקיים מונה מספר סוגי זכויות שרכיש</w:t>
      </w:r>
      <w:r w:rsidR="0035562F">
        <w:rPr>
          <w:rFonts w:hint="cs"/>
          <w:rtl/>
        </w:rPr>
        <w:t xml:space="preserve">ה המקנה </w:t>
      </w:r>
      <w:r>
        <w:rPr>
          <w:rFonts w:hint="cs"/>
          <w:b/>
          <w:bCs/>
          <w:rtl/>
        </w:rPr>
        <w:t>למעלה מרבע מ</w:t>
      </w:r>
      <w:r w:rsidR="00E55991">
        <w:rPr>
          <w:rFonts w:hint="cs"/>
          <w:b/>
          <w:bCs/>
          <w:rtl/>
        </w:rPr>
        <w:t xml:space="preserve">אחד או יותר מהם </w:t>
      </w:r>
      <w:r>
        <w:rPr>
          <w:rFonts w:hint="cs"/>
          <w:rtl/>
        </w:rPr>
        <w:t>מקימה מיזוג חברות: הון מניות מוצא (הוא ההון המונפק של החברה), כוח ההצבעה, הכוח למינוי דירקטורים והזכות להשתתפות ברווחי החברה. זכויות אלה יכונו להלן ביחד: "</w:t>
      </w:r>
      <w:r>
        <w:rPr>
          <w:rFonts w:hint="cs"/>
          <w:b/>
          <w:bCs/>
          <w:rtl/>
        </w:rPr>
        <w:t>הזכויות</w:t>
      </w:r>
      <w:r>
        <w:rPr>
          <w:rFonts w:hint="cs"/>
          <w:rtl/>
        </w:rPr>
        <w:t xml:space="preserve">". </w:t>
      </w:r>
    </w:p>
    <w:p w:rsidR="007E35C6" w:rsidRDefault="007E35C6" w:rsidP="00B52561">
      <w:pPr>
        <w:pStyle w:val="BodyText"/>
        <w:spacing w:after="240"/>
        <w:ind w:left="32"/>
        <w:rPr>
          <w:rFonts w:hint="cs"/>
          <w:rtl/>
        </w:rPr>
      </w:pPr>
      <w:r>
        <w:rPr>
          <w:rFonts w:hint="cs"/>
          <w:rtl/>
        </w:rPr>
        <w:t>היקף ההחזקה בכוח ההצבעה ובכוח למינוי דירקטורים מייצג את מידת ההשפעה של התאגיד המחזיק בניהול ו</w:t>
      </w:r>
      <w:r w:rsidR="00E55991">
        <w:rPr>
          <w:rFonts w:hint="cs"/>
          <w:rtl/>
        </w:rPr>
        <w:t>ב</w:t>
      </w:r>
      <w:r>
        <w:rPr>
          <w:rFonts w:hint="cs"/>
          <w:rtl/>
        </w:rPr>
        <w:t>קבלת החלטות בתאגיד המוחזק ("</w:t>
      </w:r>
      <w:r>
        <w:rPr>
          <w:rFonts w:hint="cs"/>
          <w:b/>
          <w:bCs/>
          <w:rtl/>
        </w:rPr>
        <w:t>הזכויות האקטיביות</w:t>
      </w:r>
      <w:r>
        <w:rPr>
          <w:rFonts w:hint="cs"/>
          <w:rtl/>
        </w:rPr>
        <w:t xml:space="preserve">"). </w:t>
      </w:r>
    </w:p>
    <w:p w:rsidR="007E35C6" w:rsidRDefault="007E35C6" w:rsidP="00B52561">
      <w:pPr>
        <w:pStyle w:val="BodyText"/>
        <w:spacing w:after="240"/>
        <w:ind w:left="32"/>
        <w:rPr>
          <w:rFonts w:hint="cs"/>
          <w:rtl/>
        </w:rPr>
      </w:pPr>
      <w:r>
        <w:rPr>
          <w:rFonts w:hint="cs"/>
          <w:rtl/>
        </w:rPr>
        <w:t>לעומת זאת, ההחזקה בהון המניות המוצא וההחזקה בזכות ההשתתפות ברווחי התאגיד ("</w:t>
      </w:r>
      <w:r>
        <w:rPr>
          <w:rFonts w:hint="cs"/>
          <w:b/>
          <w:bCs/>
          <w:rtl/>
        </w:rPr>
        <w:t>הזכויות הפאסיביות</w:t>
      </w:r>
      <w:r>
        <w:rPr>
          <w:rFonts w:hint="cs"/>
          <w:rtl/>
        </w:rPr>
        <w:t>"), כשלעצמן, משפיעות, כל אחת בפני עצמה, על מערך התמריצים של העסק המחזיק להתחרות בעסק המוחזק</w:t>
      </w:r>
      <w:r w:rsidR="00A16A01">
        <w:rPr>
          <w:rFonts w:hint="cs"/>
          <w:rtl/>
        </w:rPr>
        <w:t xml:space="preserve"> ולהפך</w:t>
      </w:r>
      <w:r>
        <w:rPr>
          <w:rFonts w:hint="cs"/>
          <w:rtl/>
        </w:rPr>
        <w:t xml:space="preserve">. </w:t>
      </w:r>
    </w:p>
    <w:p w:rsidR="00616C77" w:rsidRDefault="007E35C6" w:rsidP="009E4BD8">
      <w:pPr>
        <w:pStyle w:val="BodyText"/>
        <w:spacing w:after="240"/>
        <w:ind w:left="32"/>
        <w:rPr>
          <w:rFonts w:hint="cs"/>
          <w:rtl/>
        </w:rPr>
      </w:pPr>
      <w:r>
        <w:rPr>
          <w:rFonts w:hint="cs"/>
          <w:rtl/>
        </w:rPr>
        <w:t>דיני ההגבלים העסקיים מייחסים נפקות, ככלל וב</w:t>
      </w:r>
      <w:r w:rsidR="00616C77">
        <w:rPr>
          <w:rFonts w:hint="cs"/>
          <w:rtl/>
        </w:rPr>
        <w:t>פרט ב</w:t>
      </w:r>
      <w:r>
        <w:rPr>
          <w:rFonts w:hint="cs"/>
          <w:rtl/>
        </w:rPr>
        <w:t xml:space="preserve">ראי הפיקוח על המיזוגים, הן להחזקה בזכויות אקטיביות והן להחזקה בזכויות פאסיביות. על כן, החוק מורה כי חציית הרף הקבוע בו לגבי איזה מסוגי הזכויות שצוינו לעיל מקימה מיזוג חברות.  מכאן כי רכישה </w:t>
      </w:r>
      <w:r w:rsidR="0035562F">
        <w:rPr>
          <w:rFonts w:hint="cs"/>
          <w:rtl/>
        </w:rPr>
        <w:t xml:space="preserve">המקנה </w:t>
      </w:r>
      <w:r>
        <w:rPr>
          <w:rFonts w:hint="cs"/>
          <w:rtl/>
        </w:rPr>
        <w:t xml:space="preserve">למעלה מרבע </w:t>
      </w:r>
      <w:r w:rsidR="00AF0187">
        <w:rPr>
          <w:rFonts w:hint="cs"/>
          <w:rtl/>
        </w:rPr>
        <w:t>מ</w:t>
      </w:r>
      <w:r>
        <w:rPr>
          <w:rFonts w:hint="cs"/>
          <w:rtl/>
        </w:rPr>
        <w:t xml:space="preserve">זכות מסוימת </w:t>
      </w:r>
      <w:r>
        <w:rPr>
          <w:rtl/>
        </w:rPr>
        <w:t>–</w:t>
      </w:r>
      <w:r>
        <w:rPr>
          <w:rFonts w:hint="cs"/>
          <w:rtl/>
        </w:rPr>
        <w:t xml:space="preserve"> מהווה מיזוג חבר</w:t>
      </w:r>
      <w:r w:rsidR="00616C77">
        <w:rPr>
          <w:rFonts w:hint="cs"/>
          <w:rtl/>
        </w:rPr>
        <w:t xml:space="preserve">ות, אף אם מדובר בזכות פאסיבית לחלוטין. </w:t>
      </w:r>
    </w:p>
    <w:p w:rsidR="007E35C6" w:rsidRDefault="007E35C6" w:rsidP="00107C18">
      <w:pPr>
        <w:pStyle w:val="BodyText"/>
        <w:spacing w:after="240"/>
        <w:ind w:left="32"/>
        <w:rPr>
          <w:rFonts w:hint="cs"/>
          <w:rtl/>
        </w:rPr>
      </w:pPr>
      <w:r>
        <w:rPr>
          <w:rFonts w:hint="cs"/>
          <w:b/>
          <w:bCs/>
          <w:rtl/>
        </w:rPr>
        <w:t xml:space="preserve">האם רכישה </w:t>
      </w:r>
      <w:r w:rsidR="0035562F">
        <w:rPr>
          <w:rFonts w:hint="cs"/>
          <w:b/>
          <w:bCs/>
          <w:rtl/>
        </w:rPr>
        <w:t xml:space="preserve">המקנה </w:t>
      </w:r>
      <w:r>
        <w:rPr>
          <w:rFonts w:hint="cs"/>
          <w:b/>
          <w:bCs/>
          <w:rtl/>
        </w:rPr>
        <w:t>פחות מרבע מסוג מניות בחברה עשויה להיחשב ל"מיזוג חברות"?</w:t>
      </w:r>
      <w:r>
        <w:rPr>
          <w:rFonts w:hint="cs"/>
          <w:rtl/>
        </w:rPr>
        <w:t xml:space="preserve"> לשון החוק, ובפרט קיומו של הרובד הרחב שבהגדרת "מיזוג חברות" </w:t>
      </w:r>
      <w:r w:rsidR="00AF0187">
        <w:rPr>
          <w:rFonts w:hint="cs"/>
          <w:rtl/>
        </w:rPr>
        <w:t>תומך בגישה</w:t>
      </w:r>
      <w:r>
        <w:rPr>
          <w:rFonts w:hint="cs"/>
          <w:rtl/>
        </w:rPr>
        <w:t xml:space="preserve"> ז</w:t>
      </w:r>
      <w:r w:rsidR="00AF0187">
        <w:rPr>
          <w:rFonts w:hint="cs"/>
          <w:rtl/>
        </w:rPr>
        <w:t>ו</w:t>
      </w:r>
      <w:r>
        <w:rPr>
          <w:rFonts w:hint="cs"/>
          <w:rtl/>
        </w:rPr>
        <w:t>.  עם זאת</w:t>
      </w:r>
      <w:r w:rsidR="001F2F5D">
        <w:rPr>
          <w:rFonts w:hint="cs"/>
          <w:rtl/>
        </w:rPr>
        <w:t>,</w:t>
      </w:r>
      <w:r>
        <w:rPr>
          <w:rFonts w:hint="cs"/>
          <w:rtl/>
        </w:rPr>
        <w:t xml:space="preserve"> נראה כי מצבים כאלה יהיו </w:t>
      </w:r>
      <w:r w:rsidR="00AF0187">
        <w:rPr>
          <w:rFonts w:hint="cs"/>
          <w:rtl/>
        </w:rPr>
        <w:t>מצומצמים</w:t>
      </w:r>
      <w:r>
        <w:rPr>
          <w:rFonts w:hint="cs"/>
          <w:rtl/>
        </w:rPr>
        <w:t xml:space="preserve"> למדי</w:t>
      </w:r>
      <w:r w:rsidR="00AF0187">
        <w:rPr>
          <w:rFonts w:hint="cs"/>
          <w:rtl/>
        </w:rPr>
        <w:t>.</w:t>
      </w:r>
      <w:r>
        <w:rPr>
          <w:rFonts w:hint="cs"/>
          <w:rtl/>
        </w:rPr>
        <w:t xml:space="preserve"> כך, למשל, יהיה כאשר אדם </w:t>
      </w:r>
      <w:r w:rsidR="0035562F">
        <w:rPr>
          <w:rFonts w:hint="cs"/>
          <w:rtl/>
        </w:rPr>
        <w:t xml:space="preserve">מבצע רכישה המקנה לו </w:t>
      </w:r>
      <w:r>
        <w:rPr>
          <w:rFonts w:hint="cs"/>
          <w:rtl/>
        </w:rPr>
        <w:t xml:space="preserve">פחות מרבע מסוג כלשהו של זכות, אך בנסיבות העניין, בגלל ביזור ההחזקות בחברה, גם חבילת הזכויות המצומצמת </w:t>
      </w:r>
      <w:r w:rsidR="0035562F">
        <w:rPr>
          <w:rFonts w:hint="cs"/>
          <w:rtl/>
        </w:rPr>
        <w:t xml:space="preserve">שרכש </w:t>
      </w:r>
      <w:r>
        <w:rPr>
          <w:rFonts w:hint="cs"/>
          <w:rtl/>
        </w:rPr>
        <w:t>מעניקה לו</w:t>
      </w:r>
      <w:r w:rsidR="00AF0187">
        <w:rPr>
          <w:rFonts w:hint="cs"/>
          <w:rtl/>
        </w:rPr>
        <w:t>, הלכה למעשה,</w:t>
      </w:r>
      <w:r>
        <w:rPr>
          <w:rFonts w:hint="cs"/>
          <w:rtl/>
        </w:rPr>
        <w:t xml:space="preserve"> כוח השפעה מ</w:t>
      </w:r>
      <w:r w:rsidR="00107C18">
        <w:rPr>
          <w:rFonts w:hint="cs"/>
          <w:rtl/>
        </w:rPr>
        <w:t xml:space="preserve">משי </w:t>
      </w:r>
      <w:r>
        <w:rPr>
          <w:rFonts w:hint="cs"/>
          <w:rtl/>
        </w:rPr>
        <w:t xml:space="preserve">.  סוג אחר של מצבים הוא כשלצד הזכויות הרגילות שקיבל הרוכש </w:t>
      </w:r>
      <w:r>
        <w:rPr>
          <w:rtl/>
        </w:rPr>
        <w:t>–</w:t>
      </w:r>
      <w:r>
        <w:rPr>
          <w:rFonts w:hint="cs"/>
          <w:rtl/>
        </w:rPr>
        <w:t xml:space="preserve"> ניתנות בידו גם זכויות עודפות אחרות.</w:t>
      </w:r>
      <w:r>
        <w:rPr>
          <w:rStyle w:val="FootnoteReference"/>
        </w:rPr>
        <w:footnoteReference w:id="29"/>
      </w:r>
      <w:r>
        <w:rPr>
          <w:rFonts w:hint="cs"/>
          <w:rtl/>
        </w:rPr>
        <w:t xml:space="preserve">  </w:t>
      </w:r>
      <w:r w:rsidR="00DA07E5">
        <w:rPr>
          <w:rFonts w:hint="cs"/>
          <w:rtl/>
        </w:rPr>
        <w:t xml:space="preserve">מקרה נוסף הנופל בגדר קבוצה זו של מקרים יימצא בנסיבות בהן אף שהזכויות הנרכשות נופלות ממדרגת ה"למעלה מרבע", הרי שהן מצטרפות למארג של הסדרים בין הרוכש לנרכש, אשר בכוחם המצרפי להקים מיזוג חברות. להמחשה, אלה הם פני הדברים כאשר </w:t>
      </w:r>
      <w:r w:rsidR="00B3319E">
        <w:rPr>
          <w:rFonts w:hint="cs"/>
          <w:rtl/>
        </w:rPr>
        <w:t>העסקה היא לרכישה של 2</w:t>
      </w:r>
      <w:r w:rsidR="00CB5B03">
        <w:rPr>
          <w:rFonts w:hint="cs"/>
          <w:rtl/>
        </w:rPr>
        <w:t>0</w:t>
      </w:r>
      <w:r w:rsidR="00B3319E">
        <w:rPr>
          <w:rFonts w:hint="cs"/>
          <w:rtl/>
        </w:rPr>
        <w:t xml:space="preserve">% מהון המניות המוצא של הנרכש, אך רכישה זו מצטרפת ליחסי נשייה בין </w:t>
      </w:r>
      <w:r w:rsidR="001F2F5D">
        <w:rPr>
          <w:rFonts w:hint="cs"/>
          <w:rtl/>
        </w:rPr>
        <w:t xml:space="preserve">הרוכש </w:t>
      </w:r>
      <w:r w:rsidR="00B3319E">
        <w:rPr>
          <w:rFonts w:hint="cs"/>
          <w:rtl/>
        </w:rPr>
        <w:t xml:space="preserve">לנרכש. </w:t>
      </w:r>
      <w:r>
        <w:rPr>
          <w:rFonts w:hint="cs"/>
          <w:rtl/>
        </w:rPr>
        <w:t xml:space="preserve">במקרים </w:t>
      </w:r>
      <w:r w:rsidR="00CB5B03">
        <w:rPr>
          <w:rFonts w:hint="cs"/>
          <w:rtl/>
        </w:rPr>
        <w:t xml:space="preserve">מעין אלה עשויה להתחייב המסקנה לפיה יש </w:t>
      </w:r>
      <w:r>
        <w:rPr>
          <w:rFonts w:hint="cs"/>
          <w:rtl/>
        </w:rPr>
        <w:t xml:space="preserve">לראות בעסקה משום מיזוג חברות, אף שלא הועבר במסגרתה מעל </w:t>
      </w:r>
      <w:r w:rsidR="001F2F5D">
        <w:rPr>
          <w:rFonts w:hint="cs"/>
          <w:rtl/>
        </w:rPr>
        <w:t>ל</w:t>
      </w:r>
      <w:r>
        <w:rPr>
          <w:rFonts w:hint="cs"/>
          <w:rtl/>
        </w:rPr>
        <w:t>רבע מזכות מסוימת.</w:t>
      </w:r>
      <w:r w:rsidR="00616C77">
        <w:rPr>
          <w:rStyle w:val="FootnoteReference"/>
          <w:rtl/>
        </w:rPr>
        <w:footnoteReference w:id="30"/>
      </w:r>
    </w:p>
    <w:p w:rsidR="009028EC" w:rsidRDefault="007E35C6" w:rsidP="00B52561">
      <w:pPr>
        <w:pStyle w:val="BodyText"/>
        <w:spacing w:after="240"/>
        <w:ind w:left="32"/>
        <w:rPr>
          <w:rFonts w:hint="cs"/>
          <w:rtl/>
        </w:rPr>
      </w:pPr>
      <w:r>
        <w:rPr>
          <w:rFonts w:hint="cs"/>
          <w:b/>
          <w:bCs/>
          <w:rtl/>
        </w:rPr>
        <w:t xml:space="preserve">סוגיית הרוכשים במשותף </w:t>
      </w:r>
      <w:r>
        <w:rPr>
          <w:b/>
          <w:bCs/>
          <w:rtl/>
        </w:rPr>
        <w:t>–</w:t>
      </w:r>
      <w:r>
        <w:rPr>
          <w:rFonts w:hint="cs"/>
          <w:b/>
          <w:bCs/>
          <w:rtl/>
        </w:rPr>
        <w:t xml:space="preserve"> האם יחושב שיעור אחזקותיהם במשותף? </w:t>
      </w:r>
      <w:r>
        <w:rPr>
          <w:rFonts w:hint="cs"/>
          <w:rtl/>
        </w:rPr>
        <w:t xml:space="preserve">מהו הדין כאשר מספר עסקים רוכשים </w:t>
      </w:r>
      <w:r w:rsidR="00AE3876">
        <w:rPr>
          <w:rFonts w:hint="cs"/>
          <w:rtl/>
        </w:rPr>
        <w:t xml:space="preserve">יחדיו </w:t>
      </w:r>
      <w:r>
        <w:rPr>
          <w:rFonts w:hint="cs"/>
          <w:rtl/>
        </w:rPr>
        <w:t>זכויות בחברה</w:t>
      </w:r>
      <w:r w:rsidR="00B3319E">
        <w:rPr>
          <w:rFonts w:hint="cs"/>
          <w:rtl/>
        </w:rPr>
        <w:t xml:space="preserve"> בשיעור העולה על רבע</w:t>
      </w:r>
      <w:r w:rsidR="00AE3876">
        <w:rPr>
          <w:rFonts w:hint="cs"/>
          <w:rtl/>
        </w:rPr>
        <w:t>, אולם אף אחד מהם אינו חוצה באופן עצמאי רף של רבע מזכות כלשהי בתאגיד</w:t>
      </w:r>
      <w:r>
        <w:rPr>
          <w:rFonts w:hint="cs"/>
          <w:rtl/>
        </w:rPr>
        <w:t xml:space="preserve">.  האם נתייחס לשיעור </w:t>
      </w:r>
      <w:r w:rsidR="00AE3876">
        <w:rPr>
          <w:rFonts w:hint="cs"/>
          <w:rtl/>
        </w:rPr>
        <w:t xml:space="preserve">ההחזקה הנפרד של כל אחד מהם או להצבר הזכויות המוחזקות על ידם? </w:t>
      </w:r>
      <w:r>
        <w:rPr>
          <w:rFonts w:hint="cs"/>
          <w:rtl/>
        </w:rPr>
        <w:t xml:space="preserve">  </w:t>
      </w:r>
    </w:p>
    <w:p w:rsidR="007E35C6" w:rsidRDefault="009028EC" w:rsidP="00107C18">
      <w:pPr>
        <w:pStyle w:val="BodyText"/>
        <w:spacing w:after="240"/>
        <w:ind w:left="32"/>
        <w:rPr>
          <w:rFonts w:hint="cs"/>
          <w:rtl/>
        </w:rPr>
      </w:pPr>
      <w:r>
        <w:rPr>
          <w:rFonts w:hint="cs"/>
          <w:rtl/>
        </w:rPr>
        <w:t xml:space="preserve">מערך הפיקוח על מיזוגים מתייחס לרכישה הנעשית על ידי מספר פרטים כרכישה </w:t>
      </w:r>
      <w:r w:rsidR="00D44917">
        <w:rPr>
          <w:rFonts w:hint="cs"/>
          <w:rtl/>
        </w:rPr>
        <w:t xml:space="preserve">משותפת, </w:t>
      </w:r>
      <w:r>
        <w:rPr>
          <w:rFonts w:hint="cs"/>
          <w:rtl/>
        </w:rPr>
        <w:t xml:space="preserve">בשלל נסיבות ומצבים. כך הוא ודאי, כאשר פרטים אלה רכשו </w:t>
      </w:r>
      <w:r w:rsidR="007E35C6">
        <w:rPr>
          <w:rFonts w:hint="cs"/>
          <w:rtl/>
        </w:rPr>
        <w:t>את המניות במשותף או התקשרו ביניהם במסגרת הסדר הצבעה</w:t>
      </w:r>
      <w:r w:rsidR="00003C74">
        <w:rPr>
          <w:rFonts w:hint="cs"/>
          <w:rtl/>
        </w:rPr>
        <w:t xml:space="preserve"> להפעלה מתואמת של זכויותיהם בתאגיד.</w:t>
      </w:r>
      <w:r w:rsidR="007E35C6">
        <w:rPr>
          <w:rStyle w:val="FootnoteReference"/>
          <w:rtl/>
        </w:rPr>
        <w:footnoteReference w:id="31"/>
      </w:r>
      <w:r w:rsidR="00003C74">
        <w:rPr>
          <w:rFonts w:hint="cs"/>
          <w:rtl/>
        </w:rPr>
        <w:t xml:space="preserve"> כך</w:t>
      </w:r>
      <w:r w:rsidR="00B3319E">
        <w:rPr>
          <w:rFonts w:hint="cs"/>
          <w:rtl/>
        </w:rPr>
        <w:t xml:space="preserve"> גם</w:t>
      </w:r>
      <w:r w:rsidR="00003C74">
        <w:rPr>
          <w:rFonts w:hint="cs"/>
          <w:rtl/>
        </w:rPr>
        <w:t xml:space="preserve"> יהיה במצבים אחרים, בהם בחינה רב נסיבתית תלמד על תיאום בין הפרטים השונים</w:t>
      </w:r>
      <w:r w:rsidR="000E1BBD">
        <w:rPr>
          <w:rFonts w:hint="cs"/>
          <w:rtl/>
        </w:rPr>
        <w:t xml:space="preserve">, שכן במקרים אלה היקף רכישותיו של כל פרט אינו משקף את מידת ההשפעה שתוקנה לו, הלכה למעשה, על התנהלות התאגיד. </w:t>
      </w:r>
      <w:r w:rsidR="00AE357A">
        <w:rPr>
          <w:rFonts w:hint="cs"/>
          <w:rtl/>
        </w:rPr>
        <w:t xml:space="preserve">להמחשה, רכישה של זכויות בשיעור העולה על רבע, בידי בני אדם אשר מחזיקים בעסקים משותפים, ונוהגים </w:t>
      </w:r>
      <w:r w:rsidR="00107C18">
        <w:rPr>
          <w:rFonts w:hint="cs"/>
          <w:rtl/>
        </w:rPr>
        <w:t xml:space="preserve">לשתף </w:t>
      </w:r>
      <w:r w:rsidR="00AE357A">
        <w:rPr>
          <w:rFonts w:hint="cs"/>
          <w:rtl/>
        </w:rPr>
        <w:t xml:space="preserve"> פעולה בפעילותם העסקית, היא מיזוג חברות, גם אם אף אדם, כשלעצמו, לא רכש זכות כלשהי בשיעור העולה על רבע, וגם אם אין בין בני האדם האמורים הס</w:t>
      </w:r>
      <w:r w:rsidR="00152234">
        <w:rPr>
          <w:rFonts w:hint="cs"/>
          <w:rtl/>
        </w:rPr>
        <w:t>ד</w:t>
      </w:r>
      <w:r w:rsidR="00AE357A">
        <w:rPr>
          <w:rFonts w:hint="cs"/>
          <w:rtl/>
        </w:rPr>
        <w:t xml:space="preserve">ר הצבעה. </w:t>
      </w:r>
      <w:r w:rsidR="00003C74">
        <w:rPr>
          <w:rFonts w:hint="cs"/>
          <w:rtl/>
        </w:rPr>
        <w:t>במקרים אלה, ככל ש</w:t>
      </w:r>
      <w:r w:rsidR="00AE3876">
        <w:rPr>
          <w:rFonts w:hint="cs"/>
          <w:rtl/>
        </w:rPr>
        <w:t>ההחזקה המשותפת לקבוצת הפרטים ה</w:t>
      </w:r>
      <w:r w:rsidR="00003C74">
        <w:rPr>
          <w:rFonts w:hint="cs"/>
          <w:rtl/>
        </w:rPr>
        <w:t xml:space="preserve">מתואמים </w:t>
      </w:r>
      <w:r w:rsidR="00AE3876">
        <w:rPr>
          <w:rFonts w:hint="cs"/>
          <w:rtl/>
        </w:rPr>
        <w:t xml:space="preserve">חוצה רף של רבע בעקבות הרכישה </w:t>
      </w:r>
      <w:r w:rsidR="00003C74">
        <w:rPr>
          <w:rFonts w:hint="cs"/>
          <w:rtl/>
        </w:rPr>
        <w:t>- קם מיזוג חברות.</w:t>
      </w:r>
      <w:r w:rsidR="001F2F5D">
        <w:rPr>
          <w:rStyle w:val="FootnoteReference"/>
          <w:rtl/>
        </w:rPr>
        <w:footnoteReference w:id="32"/>
      </w:r>
      <w:r>
        <w:rPr>
          <w:rFonts w:hint="cs"/>
          <w:rtl/>
        </w:rPr>
        <w:t xml:space="preserve"> </w:t>
      </w:r>
    </w:p>
    <w:p w:rsidR="007E35C6" w:rsidRDefault="004D66A9" w:rsidP="00B52561">
      <w:pPr>
        <w:pStyle w:val="BodyText"/>
        <w:tabs>
          <w:tab w:val="num" w:pos="1800"/>
        </w:tabs>
        <w:spacing w:after="240"/>
        <w:ind w:left="32"/>
        <w:rPr>
          <w:rFonts w:hint="cs"/>
          <w:rtl/>
        </w:rPr>
      </w:pPr>
      <w:r>
        <w:rPr>
          <w:rFonts w:hint="cs"/>
          <w:noProof/>
          <w:rtl/>
          <w:lang w:eastAsia="en-US"/>
        </w:rPr>
        <w:drawing>
          <wp:inline distT="0" distB="0" distL="0" distR="0">
            <wp:extent cx="114300" cy="114300"/>
            <wp:effectExtent l="0" t="0" r="0" b="0"/>
            <wp:docPr id="2" name="Picture 2" descr="BD15172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D15172_"/>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7E35C6">
        <w:rPr>
          <w:rtl/>
        </w:rPr>
        <w:tab/>
      </w:r>
      <w:r w:rsidR="007E35C6" w:rsidRPr="002D75D5">
        <w:rPr>
          <w:rFonts w:hint="cs"/>
          <w:b/>
          <w:bCs/>
          <w:rtl/>
        </w:rPr>
        <w:t>"למעלה מרבע": מהן מדרגות ההחזקות שחצייתן מקימה מיזוג חברות</w:t>
      </w:r>
      <w:r w:rsidR="007E35C6" w:rsidRPr="002D75D5">
        <w:rPr>
          <w:rFonts w:hint="cs"/>
          <w:b/>
          <w:bCs/>
          <w:color w:val="FF0000"/>
          <w:rtl/>
        </w:rPr>
        <w:t>?</w:t>
      </w:r>
      <w:r w:rsidR="007E35C6">
        <w:rPr>
          <w:rFonts w:hint="cs"/>
          <w:b/>
          <w:bCs/>
          <w:rtl/>
        </w:rPr>
        <w:t xml:space="preserve"> </w:t>
      </w:r>
      <w:r w:rsidR="007E35C6">
        <w:rPr>
          <w:rFonts w:hint="cs"/>
          <w:rtl/>
        </w:rPr>
        <w:t xml:space="preserve"> </w:t>
      </w:r>
    </w:p>
    <w:p w:rsidR="007E35C6" w:rsidRDefault="007E35C6" w:rsidP="00003CDF">
      <w:pPr>
        <w:pStyle w:val="BodyText"/>
        <w:spacing w:after="240"/>
        <w:ind w:left="32"/>
        <w:rPr>
          <w:rFonts w:hint="cs"/>
          <w:rtl/>
        </w:rPr>
      </w:pPr>
      <w:r>
        <w:rPr>
          <w:rFonts w:hint="cs"/>
          <w:rtl/>
        </w:rPr>
        <w:t>כאמור לעיל, חוק ההגבלים העסקיים קובע כי רכיש</w:t>
      </w:r>
      <w:r w:rsidR="00AE3876">
        <w:rPr>
          <w:rFonts w:hint="cs"/>
          <w:rtl/>
        </w:rPr>
        <w:t xml:space="preserve">ה המקנה </w:t>
      </w:r>
      <w:r>
        <w:rPr>
          <w:rFonts w:hint="cs"/>
          <w:rtl/>
        </w:rPr>
        <w:t>למעלה מרבע מאיזה מסוגי הזכויות</w:t>
      </w:r>
      <w:r w:rsidR="00003CDF">
        <w:rPr>
          <w:rFonts w:hint="cs"/>
          <w:rtl/>
        </w:rPr>
        <w:t xml:space="preserve"> שצוינו לעיל, מקימה מיזוג חברות. </w:t>
      </w:r>
      <w:r>
        <w:rPr>
          <w:rFonts w:hint="cs"/>
          <w:rtl/>
        </w:rPr>
        <w:t>יש לזכור כי רכיש</w:t>
      </w:r>
      <w:r w:rsidR="00AE3876">
        <w:rPr>
          <w:rFonts w:hint="cs"/>
          <w:rtl/>
        </w:rPr>
        <w:t xml:space="preserve">ת זכויות בהיקף כזה, ואף בשיעור נמוך מזה, </w:t>
      </w:r>
      <w:r>
        <w:rPr>
          <w:rFonts w:hint="cs"/>
          <w:rtl/>
        </w:rPr>
        <w:t xml:space="preserve">יכול ותיחשב למיזוג חברות מכוח הרובד הרחב דלעיל, ועשויה גם להוות הסדר כובל לפי סעיף 2 לחוק, בפרט כאשר היא מאפשרת מינוי נושא משרה בעסק שמניות בו נרכשו.   </w:t>
      </w:r>
    </w:p>
    <w:p w:rsidR="007E35C6" w:rsidRDefault="007E35C6" w:rsidP="00B52561">
      <w:pPr>
        <w:pStyle w:val="BodyText"/>
        <w:spacing w:after="240"/>
        <w:ind w:left="32"/>
        <w:rPr>
          <w:rFonts w:hint="cs"/>
          <w:rtl/>
        </w:rPr>
      </w:pPr>
      <w:r>
        <w:rPr>
          <w:rFonts w:hint="cs"/>
          <w:rtl/>
        </w:rPr>
        <w:t>משמעות הדבר היא ש</w:t>
      </w:r>
      <w:r>
        <w:rPr>
          <w:rFonts w:hint="cs"/>
          <w:b/>
          <w:bCs/>
          <w:rtl/>
        </w:rPr>
        <w:t>מיזוג חברות כמשמעו בחוק, קם בכל פעם שנחצית מדרגת החזקה של 25%</w:t>
      </w:r>
      <w:r>
        <w:rPr>
          <w:rFonts w:hint="cs"/>
          <w:rtl/>
        </w:rPr>
        <w:t xml:space="preserve"> (או 25% נוספות) מסוג זכויות בתאגיד.</w:t>
      </w:r>
      <w:r>
        <w:rPr>
          <w:rStyle w:val="FootnoteReference"/>
        </w:rPr>
        <w:footnoteReference w:id="33"/>
      </w:r>
      <w:r>
        <w:rPr>
          <w:rFonts w:hint="cs"/>
          <w:rtl/>
        </w:rPr>
        <w:t xml:space="preserve"> הטעם לכך הוא שעוצמת ההחזקה ומשמעותה משתנה לאורך מעלה המדרגות בנות ה- 25% כל אחת. אין משמעות הסכמה להחזקה ב25.1% בחברה כדין הסכמה לשליטה באותה חברה על ידי הרוכש ואין מתן ההסכמה האחת טומן בחובו בהכרח את ההסכמה האחרת. משמעות הדברים היא כי לממונה ניתן שיקול דעת אם להסכים למיזוג בין עסקים, כאשר שיקול </w:t>
      </w:r>
      <w:r w:rsidR="00152234">
        <w:rPr>
          <w:rFonts w:hint="cs"/>
          <w:rtl/>
        </w:rPr>
        <w:t xml:space="preserve">דעתה </w:t>
      </w:r>
      <w:r>
        <w:rPr>
          <w:rFonts w:hint="cs"/>
          <w:rtl/>
        </w:rPr>
        <w:t>יכול וישתנה לאור היקף הרכישה ועוצמתה.</w:t>
      </w:r>
    </w:p>
    <w:p w:rsidR="007E35C6" w:rsidRDefault="00152234" w:rsidP="002A3B06">
      <w:pPr>
        <w:pStyle w:val="BodyText"/>
        <w:spacing w:after="240"/>
        <w:ind w:left="32"/>
        <w:rPr>
          <w:rFonts w:hint="cs"/>
          <w:rtl/>
        </w:rPr>
      </w:pPr>
      <w:r>
        <w:rPr>
          <w:rFonts w:hint="cs"/>
          <w:rtl/>
        </w:rPr>
        <w:t xml:space="preserve">עם זאת, </w:t>
      </w:r>
      <w:r w:rsidR="007E35C6">
        <w:rPr>
          <w:rFonts w:hint="cs"/>
          <w:rtl/>
        </w:rPr>
        <w:t xml:space="preserve">מדיניותה העקרונית של רשות ההגבלים העסקיים היא, ככלל, </w:t>
      </w:r>
      <w:r w:rsidR="007E35C6">
        <w:rPr>
          <w:rFonts w:hint="cs"/>
          <w:b/>
          <w:bCs/>
          <w:rtl/>
        </w:rPr>
        <w:t>שלא לדרוש הגשת הודעת מיזוג</w:t>
      </w:r>
      <w:r w:rsidR="007E35C6">
        <w:rPr>
          <w:rFonts w:hint="cs"/>
          <w:rtl/>
        </w:rPr>
        <w:t xml:space="preserve">, מקום בו אדם המחזיק </w:t>
      </w:r>
      <w:r w:rsidR="007E35C6">
        <w:rPr>
          <w:rFonts w:hint="cs"/>
          <w:b/>
          <w:bCs/>
          <w:rtl/>
        </w:rPr>
        <w:t xml:space="preserve">כדין </w:t>
      </w:r>
      <w:r w:rsidR="007E35C6">
        <w:rPr>
          <w:rFonts w:hint="cs"/>
          <w:rtl/>
        </w:rPr>
        <w:t xml:space="preserve">למעלה ממחצית </w:t>
      </w:r>
      <w:r w:rsidR="007E35C6" w:rsidRPr="00A134BF">
        <w:rPr>
          <w:rFonts w:hint="cs"/>
          <w:b/>
          <w:bCs/>
          <w:rtl/>
        </w:rPr>
        <w:t>בכל אחד</w:t>
      </w:r>
      <w:r w:rsidR="007E35C6">
        <w:rPr>
          <w:rFonts w:hint="cs"/>
          <w:rtl/>
        </w:rPr>
        <w:t xml:space="preserve"> מסוגי הזכויות בחברה, מגדיל החזקתו בזכות כלשהי לשיעור העולה על 75%.</w:t>
      </w:r>
      <w:r w:rsidR="002A3B06">
        <w:rPr>
          <w:rStyle w:val="FootnoteReference"/>
          <w:rtl/>
        </w:rPr>
        <w:footnoteReference w:id="34"/>
      </w:r>
      <w:r w:rsidR="007E35C6">
        <w:rPr>
          <w:rFonts w:hint="cs"/>
          <w:rtl/>
        </w:rPr>
        <w:t xml:space="preserve"> הטעם לכך הוא שבנסיבות אלה שינוי ההחזקה אינו מבטא, ככלל, שינוי של ממש בזיקה בין מנגנוני קבלת ההחלטות של הגורמים המעורבים בעסקה</w:t>
      </w:r>
      <w:r w:rsidR="002A3B06">
        <w:rPr>
          <w:rFonts w:hint="cs"/>
          <w:rtl/>
        </w:rPr>
        <w:t>.</w:t>
      </w:r>
      <w:r w:rsidR="007E35C6">
        <w:rPr>
          <w:rFonts w:hint="cs"/>
          <w:rtl/>
        </w:rPr>
        <w:t xml:space="preserve"> ממילא רואה החוק באדם ובעסק בו הוא מחזיק מעל 50% מסוג זכויות מסוים כ"יישות מהותית אחת".</w:t>
      </w:r>
      <w:r w:rsidR="007E35C6">
        <w:rPr>
          <w:rStyle w:val="FootnoteReference"/>
        </w:rPr>
        <w:footnoteReference w:id="35"/>
      </w:r>
      <w:r w:rsidR="007E35C6">
        <w:rPr>
          <w:rFonts w:hint="cs"/>
          <w:rtl/>
        </w:rPr>
        <w:t xml:space="preserve">  עם זאת, </w:t>
      </w:r>
      <w:r w:rsidR="00ED20F5">
        <w:rPr>
          <w:rFonts w:hint="cs"/>
          <w:rtl/>
        </w:rPr>
        <w:t>החרגה</w:t>
      </w:r>
      <w:r w:rsidR="007E35C6">
        <w:rPr>
          <w:rFonts w:hint="cs"/>
          <w:rtl/>
        </w:rPr>
        <w:t xml:space="preserve"> ז</w:t>
      </w:r>
      <w:r w:rsidR="00ED20F5">
        <w:rPr>
          <w:rFonts w:hint="cs"/>
          <w:rtl/>
        </w:rPr>
        <w:t>ו</w:t>
      </w:r>
      <w:r w:rsidR="007E35C6">
        <w:rPr>
          <w:rFonts w:hint="cs"/>
          <w:rtl/>
        </w:rPr>
        <w:t xml:space="preserve"> עשוי</w:t>
      </w:r>
      <w:r w:rsidR="00ED20F5">
        <w:rPr>
          <w:rFonts w:hint="cs"/>
          <w:rtl/>
        </w:rPr>
        <w:t>ה</w:t>
      </w:r>
      <w:r w:rsidR="007E35C6">
        <w:rPr>
          <w:rFonts w:hint="cs"/>
          <w:rtl/>
        </w:rPr>
        <w:t xml:space="preserve"> ל</w:t>
      </w:r>
      <w:r w:rsidR="00ED20F5">
        <w:rPr>
          <w:rFonts w:hint="cs"/>
          <w:rtl/>
        </w:rPr>
        <w:t>היות מסויגת, כך</w:t>
      </w:r>
      <w:r w:rsidR="007E35C6">
        <w:rPr>
          <w:rFonts w:hint="cs"/>
          <w:rtl/>
        </w:rPr>
        <w:t xml:space="preserve"> </w:t>
      </w:r>
      <w:r w:rsidR="00ED20F5">
        <w:rPr>
          <w:rFonts w:hint="cs"/>
          <w:rtl/>
        </w:rPr>
        <w:t>שהרשות תעמוד על הגשת הודעת מיזוג,</w:t>
      </w:r>
      <w:r w:rsidR="007E35C6">
        <w:rPr>
          <w:rFonts w:hint="cs"/>
          <w:rtl/>
        </w:rPr>
        <w:t xml:space="preserve"> מקום בו מטעם כלשהו לא התקיימה בידי בעל השליטה הפורמלי שליטה בפועל בתאגיד, או במצבים חריגים בהם מתקיימת נפקות תחרותית מיוחדת המיוחסת לשוני בעוצמת השליטה. </w:t>
      </w:r>
    </w:p>
    <w:p w:rsidR="007E35C6" w:rsidRDefault="007E35C6" w:rsidP="00B52561">
      <w:pPr>
        <w:pStyle w:val="BodyText"/>
        <w:spacing w:after="240"/>
        <w:ind w:left="32"/>
        <w:rPr>
          <w:rFonts w:hint="cs"/>
          <w:rtl/>
        </w:rPr>
      </w:pPr>
    </w:p>
    <w:p w:rsidR="007E35C6" w:rsidRDefault="004D66A9" w:rsidP="00B52561">
      <w:pPr>
        <w:pStyle w:val="BodyText"/>
        <w:spacing w:after="240"/>
        <w:ind w:left="32"/>
        <w:rPr>
          <w:rFonts w:hint="cs"/>
          <w:rtl/>
        </w:rPr>
      </w:pPr>
      <w:r>
        <w:rPr>
          <w:rFonts w:hint="cs"/>
          <w:noProof/>
          <w:rtl/>
          <w:lang w:eastAsia="en-US"/>
        </w:rPr>
        <w:drawing>
          <wp:inline distT="0" distB="0" distL="0" distR="0">
            <wp:extent cx="114300" cy="114300"/>
            <wp:effectExtent l="0" t="0" r="0" b="0"/>
            <wp:docPr id="3" name="Picture 3" descr="BD15172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D15172_"/>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7E35C6">
        <w:rPr>
          <w:rtl/>
        </w:rPr>
        <w:tab/>
      </w:r>
      <w:r w:rsidR="007E35C6" w:rsidRPr="002D75D5">
        <w:rPr>
          <w:rFonts w:hint="cs"/>
          <w:b/>
          <w:bCs/>
          <w:rtl/>
        </w:rPr>
        <w:t xml:space="preserve">רכישת זכויות </w:t>
      </w:r>
      <w:r w:rsidR="007E35C6" w:rsidRPr="002D75D5">
        <w:rPr>
          <w:b/>
          <w:bCs/>
          <w:rtl/>
        </w:rPr>
        <w:t>–</w:t>
      </w:r>
      <w:r w:rsidR="007E35C6" w:rsidRPr="002D75D5">
        <w:rPr>
          <w:rFonts w:hint="cs"/>
          <w:b/>
          <w:bCs/>
          <w:rtl/>
        </w:rPr>
        <w:t xml:space="preserve"> ארגון פנימי ורה-ארגון באשכול חברות</w:t>
      </w:r>
      <w:r w:rsidR="007E35C6">
        <w:rPr>
          <w:rFonts w:hint="cs"/>
          <w:color w:val="FF0000"/>
          <w:rtl/>
        </w:rPr>
        <w:t xml:space="preserve"> </w:t>
      </w:r>
      <w:r w:rsidR="007E35C6">
        <w:rPr>
          <w:rFonts w:hint="cs"/>
          <w:rtl/>
        </w:rPr>
        <w:t xml:space="preserve">      </w:t>
      </w:r>
    </w:p>
    <w:p w:rsidR="007E35C6" w:rsidRDefault="007E35C6" w:rsidP="00B52561">
      <w:pPr>
        <w:pStyle w:val="BodyTextIndent"/>
        <w:spacing w:after="240"/>
        <w:ind w:left="32" w:firstLine="0"/>
        <w:rPr>
          <w:rFonts w:hint="cs"/>
          <w:rtl/>
        </w:rPr>
      </w:pPr>
      <w:r>
        <w:rPr>
          <w:rFonts w:hint="cs"/>
          <w:rtl/>
        </w:rPr>
        <w:t xml:space="preserve">סיטואציה שכיחה נוספת בה מתקיים מיזוג חברות פורמלי שאינו מלווה בשינוי בזיקה בין מנגנוני קבלת ההחלטות של החברות המעורבות בו הוא רה-ארגון באשכול חברות (קונצרן). שינויים פנים ארגוניים בתוך אשכול חברות הם מעשה שגרתי שאינו יוצר, בדרך כלל, שוני של ממש באספקלריית דיני התחרות.  הטעם לכך הוא שממילא מזוהות חברות בנות, נכדות וכיוצא באלה, עם השולט בהן. אופן שרשור השליטה ומספר השכבות התאגידיות בין אלה אינו בעל נפקות תחרותית ממשית. אכן, פעמים רבות מהווה המהלך הארגוני </w:t>
      </w:r>
      <w:r w:rsidR="00ED20F5">
        <w:rPr>
          <w:rFonts w:hint="cs"/>
          <w:rtl/>
        </w:rPr>
        <w:t>"</w:t>
      </w:r>
      <w:r>
        <w:rPr>
          <w:rFonts w:hint="cs"/>
          <w:rtl/>
        </w:rPr>
        <w:t>מיזוג חברות</w:t>
      </w:r>
      <w:r w:rsidR="00ED20F5">
        <w:rPr>
          <w:rFonts w:hint="cs"/>
          <w:rtl/>
        </w:rPr>
        <w:t>", לפי המבחנים הצורניים שבחוק,</w:t>
      </w:r>
      <w:r>
        <w:rPr>
          <w:rFonts w:hint="cs"/>
          <w:rtl/>
        </w:rPr>
        <w:t xml:space="preserve"> </w:t>
      </w:r>
      <w:r w:rsidR="00ED20F5">
        <w:rPr>
          <w:rFonts w:hint="cs"/>
          <w:rtl/>
        </w:rPr>
        <w:t>אך</w:t>
      </w:r>
      <w:r>
        <w:rPr>
          <w:rFonts w:hint="cs"/>
          <w:rtl/>
        </w:rPr>
        <w:t xml:space="preserve"> אין בו כדי לשנות כלל את איכות הזיקה בין מנגנוני קבלת ההחלטות של הגורמים המעורבים בו. משכך, אין כל טעם מעשי בבחינתו על ידי הממונה. </w:t>
      </w:r>
    </w:p>
    <w:p w:rsidR="007E35C6" w:rsidRDefault="007E35C6" w:rsidP="00B52561">
      <w:pPr>
        <w:pStyle w:val="BodyTextIndent"/>
        <w:spacing w:after="240"/>
        <w:ind w:left="32" w:firstLine="0"/>
        <w:rPr>
          <w:rFonts w:hint="cs"/>
          <w:rtl/>
        </w:rPr>
      </w:pPr>
      <w:r>
        <w:rPr>
          <w:rFonts w:hint="cs"/>
          <w:rtl/>
        </w:rPr>
        <w:t xml:space="preserve">לפיכך, מדיניות הרשות היא שלא לדרוש הגשת הודעת מיזוג מקום בו הזכויות בחברות המתמזגות </w:t>
      </w:r>
      <w:r>
        <w:rPr>
          <w:rFonts w:hint="cs"/>
          <w:b/>
          <w:bCs/>
          <w:rtl/>
        </w:rPr>
        <w:t>מוחזקות במלואן</w:t>
      </w:r>
      <w:r>
        <w:rPr>
          <w:rFonts w:hint="cs"/>
          <w:rtl/>
        </w:rPr>
        <w:t xml:space="preserve"> בידי אותו גורם.</w:t>
      </w:r>
      <w:r>
        <w:rPr>
          <w:rStyle w:val="FootnoteReference"/>
        </w:rPr>
        <w:footnoteReference w:id="36"/>
      </w:r>
      <w:r>
        <w:rPr>
          <w:rFonts w:hint="cs"/>
          <w:rtl/>
        </w:rPr>
        <w:t xml:space="preserve"> מדיניות הרשות שלא לדרוש הודעה מתייחסת רק למקרים בהם </w:t>
      </w:r>
      <w:r>
        <w:rPr>
          <w:rFonts w:hint="cs"/>
          <w:b/>
          <w:bCs/>
          <w:rtl/>
        </w:rPr>
        <w:t>מלוא הזכויות</w:t>
      </w:r>
      <w:r>
        <w:rPr>
          <w:rFonts w:hint="cs"/>
          <w:rtl/>
        </w:rPr>
        <w:t xml:space="preserve"> בחברות המתמזגות מוחזקות בידי אותו גורם </w:t>
      </w:r>
      <w:r w:rsidRPr="00144869">
        <w:rPr>
          <w:rFonts w:hint="cs"/>
          <w:b/>
          <w:bCs/>
          <w:rtl/>
        </w:rPr>
        <w:t>ואין שוני בהרכב בעלי המניות</w:t>
      </w:r>
      <w:r>
        <w:rPr>
          <w:rFonts w:hint="cs"/>
          <w:rtl/>
        </w:rPr>
        <w:t xml:space="preserve">. כאשר הגורם השולט אינו מחזיק בבעלות מלאה בכל סוגי הזכויות, עדיין עשויה להיות תחולה למדיניות הרשות. ברם, עניין זה ייבחן על ידי הרשות בכל מקרה לגופו, על פי פניה פרטנית מאת הצדדים הרלבנטיים.   </w:t>
      </w:r>
    </w:p>
    <w:p w:rsidR="001D50D4" w:rsidRDefault="001D50D4" w:rsidP="00B52561">
      <w:pPr>
        <w:pStyle w:val="BodyTextIndent"/>
        <w:spacing w:after="240"/>
        <w:ind w:left="32" w:firstLine="0"/>
        <w:rPr>
          <w:rFonts w:hint="cs"/>
          <w:rtl/>
        </w:rPr>
      </w:pPr>
    </w:p>
    <w:p w:rsidR="007E35C6" w:rsidRDefault="004D66A9" w:rsidP="00B52561">
      <w:pPr>
        <w:pStyle w:val="BodyTextIndent"/>
        <w:spacing w:after="240"/>
        <w:ind w:left="32" w:firstLine="0"/>
        <w:rPr>
          <w:rFonts w:hint="cs"/>
          <w:b/>
          <w:bCs/>
          <w:color w:val="FF0000"/>
          <w:rtl/>
        </w:rPr>
      </w:pPr>
      <w:r>
        <w:rPr>
          <w:rFonts w:hint="cs"/>
          <w:noProof/>
          <w:rtl/>
          <w:lang w:eastAsia="en-US"/>
        </w:rPr>
        <w:drawing>
          <wp:inline distT="0" distB="0" distL="0" distR="0">
            <wp:extent cx="114300" cy="114300"/>
            <wp:effectExtent l="0" t="0" r="0" b="0"/>
            <wp:docPr id="4" name="Picture 4" descr="BD15172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D15172_"/>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7E35C6">
        <w:rPr>
          <w:rtl/>
        </w:rPr>
        <w:tab/>
      </w:r>
      <w:r w:rsidR="007E35C6" w:rsidRPr="002D75D5">
        <w:rPr>
          <w:rFonts w:hint="cs"/>
          <w:b/>
          <w:bCs/>
          <w:rtl/>
        </w:rPr>
        <w:t>חישוב זכויות: כיצד ייקבע שיעור ההחזקה בתאגיד?</w:t>
      </w:r>
      <w:r w:rsidR="007E35C6">
        <w:rPr>
          <w:rFonts w:hint="cs"/>
          <w:b/>
          <w:bCs/>
          <w:color w:val="FF0000"/>
          <w:rtl/>
        </w:rPr>
        <w:t xml:space="preserve"> </w:t>
      </w:r>
    </w:p>
    <w:p w:rsidR="007E35C6" w:rsidRDefault="007E35C6" w:rsidP="00B52561">
      <w:pPr>
        <w:pStyle w:val="BodyTextIndent"/>
        <w:spacing w:after="240"/>
        <w:ind w:left="32" w:firstLine="0"/>
        <w:rPr>
          <w:rFonts w:hint="cs"/>
          <w:rtl/>
        </w:rPr>
      </w:pPr>
      <w:r>
        <w:rPr>
          <w:rFonts w:hint="cs"/>
          <w:rtl/>
        </w:rPr>
        <w:t xml:space="preserve">כאמור לעיל, </w:t>
      </w:r>
      <w:r w:rsidR="004445C8">
        <w:rPr>
          <w:rFonts w:hint="cs"/>
          <w:rtl/>
        </w:rPr>
        <w:t>רכישה המקנה למעלה מ</w:t>
      </w:r>
      <w:r>
        <w:rPr>
          <w:rFonts w:hint="cs"/>
          <w:rtl/>
        </w:rPr>
        <w:t xml:space="preserve">רבע מסוג זכות הנקוב בחוק מקימה מיזוג חברות. כך הוא הדבר בין אם מדובר ברכישה ישירה ובין אם מדובר ברכישה עקיפה.  </w:t>
      </w:r>
      <w:r w:rsidR="00E90AF2">
        <w:rPr>
          <w:rFonts w:hint="cs"/>
          <w:rtl/>
        </w:rPr>
        <w:t xml:space="preserve">לעניין חישוב שיעור ההחזקה בתאגיד </w:t>
      </w:r>
      <w:r>
        <w:rPr>
          <w:rFonts w:hint="cs"/>
          <w:rtl/>
        </w:rPr>
        <w:t>יש להבחין בין שני סוגי זכויות:</w:t>
      </w:r>
      <w:r w:rsidR="00E90AF2">
        <w:rPr>
          <w:rStyle w:val="FootnoteReference"/>
          <w:rtl/>
        </w:rPr>
        <w:footnoteReference w:id="37"/>
      </w:r>
      <w:r>
        <w:rPr>
          <w:rFonts w:hint="cs"/>
          <w:rtl/>
        </w:rPr>
        <w:t xml:space="preserve"> </w:t>
      </w:r>
    </w:p>
    <w:p w:rsidR="007E35C6" w:rsidRDefault="007E35C6" w:rsidP="00B52561">
      <w:pPr>
        <w:pStyle w:val="BodyTextIndent"/>
        <w:spacing w:after="240"/>
        <w:ind w:left="32" w:firstLine="0"/>
        <w:rPr>
          <w:rFonts w:hint="cs"/>
          <w:rtl/>
        </w:rPr>
      </w:pPr>
      <w:r>
        <w:rPr>
          <w:rFonts w:hint="cs"/>
          <w:b/>
          <w:bCs/>
          <w:rtl/>
        </w:rPr>
        <w:t>זכויות אקטיביות</w:t>
      </w:r>
      <w:r>
        <w:rPr>
          <w:rFonts w:hint="cs"/>
          <w:rtl/>
        </w:rPr>
        <w:t xml:space="preserve"> (כוח ההצבעה והכוח למינוי דירקטורים) יחושבו בדרך של ייחוס כלל הזכויות לבעל השליטה בעסק הרוכש. דרך חישוב זו </w:t>
      </w:r>
      <w:r w:rsidR="00E410F3">
        <w:rPr>
          <w:rFonts w:hint="cs"/>
          <w:rtl/>
        </w:rPr>
        <w:t>מבטאת נכונה</w:t>
      </w:r>
      <w:r>
        <w:rPr>
          <w:rFonts w:hint="cs"/>
          <w:rtl/>
        </w:rPr>
        <w:t xml:space="preserve"> </w:t>
      </w:r>
      <w:r w:rsidR="00E410F3">
        <w:rPr>
          <w:rFonts w:hint="cs"/>
          <w:rtl/>
        </w:rPr>
        <w:t xml:space="preserve">את </w:t>
      </w:r>
      <w:r>
        <w:rPr>
          <w:rFonts w:hint="cs"/>
          <w:rtl/>
        </w:rPr>
        <w:t>מידת ההשפעה האמיתית של ההחזקות בתאגיד המוחזק.</w:t>
      </w:r>
      <w:r>
        <w:rPr>
          <w:rStyle w:val="FootnoteReference"/>
        </w:rPr>
        <w:footnoteReference w:id="38"/>
      </w:r>
      <w:r>
        <w:rPr>
          <w:rFonts w:hint="cs"/>
          <w:rtl/>
        </w:rPr>
        <w:t xml:space="preserve">  </w:t>
      </w:r>
    </w:p>
    <w:p w:rsidR="007E35C6" w:rsidRDefault="007E35C6" w:rsidP="00B52561">
      <w:pPr>
        <w:pStyle w:val="BodyTextIndent"/>
        <w:spacing w:after="240"/>
        <w:ind w:left="32" w:firstLine="0"/>
        <w:rPr>
          <w:rFonts w:hint="cs"/>
          <w:rtl/>
        </w:rPr>
      </w:pPr>
      <w:r>
        <w:rPr>
          <w:rFonts w:hint="cs"/>
          <w:b/>
          <w:bCs/>
          <w:rtl/>
        </w:rPr>
        <w:t>זכויות פאסיביות (זכות השתתפות ברווחים והון מניות מוצא)</w:t>
      </w:r>
      <w:r>
        <w:rPr>
          <w:rFonts w:hint="cs"/>
          <w:rtl/>
        </w:rPr>
        <w:t xml:space="preserve"> יחושבו כמכפלה של שיעור ההחזקות בשרשור. שיטה זו מ</w:t>
      </w:r>
      <w:r w:rsidR="00E410F3">
        <w:rPr>
          <w:rFonts w:hint="cs"/>
          <w:rtl/>
        </w:rPr>
        <w:t xml:space="preserve">בטאת נכונה את </w:t>
      </w:r>
      <w:r>
        <w:rPr>
          <w:rFonts w:hint="cs"/>
          <w:rtl/>
        </w:rPr>
        <w:t xml:space="preserve">מידת ההשפעה האפשרית של החזקה בעסק הנרכש </w:t>
      </w:r>
      <w:r>
        <w:rPr>
          <w:rtl/>
        </w:rPr>
        <w:t>–</w:t>
      </w:r>
      <w:r>
        <w:rPr>
          <w:rFonts w:hint="cs"/>
          <w:rtl/>
        </w:rPr>
        <w:t xml:space="preserve"> על נכונות המחזיק להתחרות בעסק שנרכש זה עתה.</w:t>
      </w:r>
      <w:r>
        <w:rPr>
          <w:rStyle w:val="FootnoteReference"/>
        </w:rPr>
        <w:footnoteReference w:id="39"/>
      </w:r>
      <w:r>
        <w:rPr>
          <w:rFonts w:hint="cs"/>
          <w:rtl/>
        </w:rPr>
        <w:t xml:space="preserve"> </w:t>
      </w:r>
    </w:p>
    <w:p w:rsidR="007E35C6" w:rsidRPr="002D75D5" w:rsidRDefault="004D66A9" w:rsidP="00B52561">
      <w:pPr>
        <w:spacing w:after="240"/>
        <w:ind w:left="32"/>
        <w:rPr>
          <w:rFonts w:hint="cs"/>
          <w:b/>
          <w:bCs/>
          <w:rtl/>
        </w:rPr>
      </w:pPr>
      <w:r>
        <w:rPr>
          <w:rFonts w:hint="cs"/>
          <w:noProof/>
          <w:rtl/>
          <w:lang w:eastAsia="en-US"/>
        </w:rPr>
        <w:drawing>
          <wp:inline distT="0" distB="0" distL="0" distR="0">
            <wp:extent cx="114300" cy="114300"/>
            <wp:effectExtent l="0" t="0" r="0" b="0"/>
            <wp:docPr id="5" name="Picture 5" descr="BD15172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D15172_"/>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7E35C6">
        <w:rPr>
          <w:rtl/>
        </w:rPr>
        <w:tab/>
      </w:r>
      <w:r w:rsidR="007E35C6" w:rsidRPr="002D75D5">
        <w:rPr>
          <w:rFonts w:hint="cs"/>
          <w:b/>
          <w:bCs/>
          <w:rtl/>
        </w:rPr>
        <w:t xml:space="preserve">רכישת זכויות </w:t>
      </w:r>
      <w:r w:rsidR="007E35C6" w:rsidRPr="002D75D5">
        <w:rPr>
          <w:b/>
          <w:bCs/>
          <w:rtl/>
        </w:rPr>
        <w:t>–</w:t>
      </w:r>
      <w:r w:rsidR="007E35C6" w:rsidRPr="002D75D5">
        <w:rPr>
          <w:rFonts w:hint="cs"/>
          <w:b/>
          <w:bCs/>
          <w:rtl/>
        </w:rPr>
        <w:t xml:space="preserve"> בין במישרין ובין בעקיפין </w:t>
      </w:r>
    </w:p>
    <w:p w:rsidR="007E35C6" w:rsidRDefault="007E35C6" w:rsidP="00B52561">
      <w:pPr>
        <w:pStyle w:val="BodyTextIndent2"/>
        <w:spacing w:after="240"/>
        <w:ind w:left="32"/>
        <w:rPr>
          <w:rFonts w:hint="cs"/>
          <w:rtl/>
        </w:rPr>
      </w:pPr>
      <w:r>
        <w:rPr>
          <w:rFonts w:hint="cs"/>
          <w:rtl/>
        </w:rPr>
        <w:t>כאמור לעיל, רכישת למעלה מרבע מסוג זכויות מקימה מיזוג חברות, בין שהיא נעשית במישרין ובין אם בעקיפין. להלן נציג מספר מצבים שכיחים של רכישת זכויות בעקיפין:</w:t>
      </w:r>
      <w:r>
        <w:rPr>
          <w:rStyle w:val="FootnoteReference"/>
          <w:rtl/>
        </w:rPr>
        <w:footnoteReference w:id="40"/>
      </w:r>
      <w:r>
        <w:rPr>
          <w:rFonts w:hint="cs"/>
          <w:rtl/>
        </w:rPr>
        <w:t xml:space="preserve"> </w:t>
      </w:r>
    </w:p>
    <w:p w:rsidR="007E35C6" w:rsidRPr="00065179" w:rsidRDefault="007E35C6" w:rsidP="00B52561">
      <w:pPr>
        <w:tabs>
          <w:tab w:val="left" w:pos="926"/>
        </w:tabs>
        <w:spacing w:after="240"/>
        <w:ind w:left="32"/>
        <w:rPr>
          <w:rFonts w:hint="cs"/>
          <w:b/>
          <w:bCs/>
          <w:sz w:val="24"/>
          <w:rtl/>
          <w:lang w:eastAsia="en-US"/>
        </w:rPr>
      </w:pPr>
      <w:r w:rsidRPr="00065179">
        <w:rPr>
          <w:rFonts w:hint="eastAsia"/>
          <w:sz w:val="24"/>
        </w:rPr>
        <w:t>•</w:t>
      </w:r>
      <w:r w:rsidRPr="00065179">
        <w:rPr>
          <w:rFonts w:hint="cs"/>
          <w:sz w:val="24"/>
          <w:rtl/>
        </w:rPr>
        <w:t xml:space="preserve">  </w:t>
      </w:r>
      <w:r w:rsidRPr="00065179">
        <w:rPr>
          <w:rFonts w:hint="cs"/>
          <w:b/>
          <w:bCs/>
          <w:sz w:val="24"/>
          <w:rtl/>
          <w:lang w:eastAsia="en-US"/>
        </w:rPr>
        <w:t>רכישת זכויות מכוח החזקה עקיפה (שרשור זכויות)</w:t>
      </w:r>
    </w:p>
    <w:p w:rsidR="007E35C6" w:rsidRDefault="007E35C6" w:rsidP="00B52561">
      <w:pPr>
        <w:tabs>
          <w:tab w:val="left" w:pos="26"/>
          <w:tab w:val="left" w:pos="746"/>
        </w:tabs>
        <w:spacing w:after="240"/>
        <w:ind w:left="32"/>
        <w:rPr>
          <w:rFonts w:hint="cs"/>
          <w:sz w:val="24"/>
          <w:rtl/>
          <w:lang w:eastAsia="en-US"/>
        </w:rPr>
      </w:pPr>
      <w:r>
        <w:rPr>
          <w:rFonts w:hint="cs"/>
          <w:sz w:val="24"/>
          <w:rtl/>
          <w:lang w:eastAsia="en-US"/>
        </w:rPr>
        <w:t>כאמור, חישוב זכויות פאסיביות נעשה בדרך של מכפלת היקף ההחזקות בכל אחת מן החוליות בשרשרת ההחזקה. ייתכנו אפוא מצבים בהם הגדלת ההחזקה הישירה לא תקים מיזוג חברות בין המחזיק לבין החברה המוחזקת על ידו במישרין, אולם תביא לחציית רף ההחזקה הקבוע בחוק לגבי החברה המוחזקת בעקיפין על ידי המחזיק. במקרה כזה תקים העסקה מיזוג חברות בין המחזיק ובי</w:t>
      </w:r>
      <w:r w:rsidR="00C411A5">
        <w:rPr>
          <w:rFonts w:hint="cs"/>
          <w:sz w:val="24"/>
          <w:rtl/>
          <w:lang w:eastAsia="en-US"/>
        </w:rPr>
        <w:t>ן החברה המוחזקת על ידו בעקיפין.</w:t>
      </w:r>
      <w:r w:rsidR="00C411A5">
        <w:rPr>
          <w:rStyle w:val="FootnoteReference"/>
          <w:sz w:val="24"/>
          <w:rtl/>
          <w:lang w:eastAsia="en-US"/>
        </w:rPr>
        <w:footnoteReference w:id="41"/>
      </w:r>
    </w:p>
    <w:p w:rsidR="007E35C6" w:rsidRDefault="007E35C6" w:rsidP="00B52561">
      <w:pPr>
        <w:tabs>
          <w:tab w:val="left" w:pos="926"/>
        </w:tabs>
        <w:spacing w:after="240"/>
        <w:ind w:left="32"/>
        <w:rPr>
          <w:rFonts w:hint="cs"/>
          <w:sz w:val="24"/>
          <w:rtl/>
          <w:lang w:eastAsia="en-US"/>
        </w:rPr>
      </w:pPr>
      <w:r>
        <w:rPr>
          <w:rFonts w:hint="cs"/>
          <w:szCs w:val="22"/>
          <w:rtl/>
          <w:lang w:eastAsia="en-US"/>
        </w:rPr>
        <w:t xml:space="preserve"> </w:t>
      </w:r>
      <w:r>
        <w:rPr>
          <w:rFonts w:hint="eastAsia"/>
          <w:sz w:val="24"/>
        </w:rPr>
        <w:t>•</w:t>
      </w:r>
      <w:r>
        <w:rPr>
          <w:rFonts w:hint="cs"/>
          <w:sz w:val="24"/>
          <w:rtl/>
        </w:rPr>
        <w:t xml:space="preserve"> </w:t>
      </w:r>
      <w:r w:rsidRPr="002D75D5">
        <w:rPr>
          <w:rFonts w:hint="cs"/>
          <w:b/>
          <w:bCs/>
          <w:rtl/>
        </w:rPr>
        <w:t>רכישה עצמית של מניות</w:t>
      </w:r>
      <w:r>
        <w:rPr>
          <w:rFonts w:hint="cs"/>
          <w:b/>
          <w:bCs/>
          <w:sz w:val="24"/>
          <w:rtl/>
          <w:lang w:eastAsia="en-US"/>
        </w:rPr>
        <w:t xml:space="preserve">  </w:t>
      </w:r>
      <w:r>
        <w:rPr>
          <w:rFonts w:hint="cs"/>
          <w:sz w:val="24"/>
          <w:rtl/>
          <w:lang w:eastAsia="en-US"/>
        </w:rPr>
        <w:t xml:space="preserve">    </w:t>
      </w:r>
    </w:p>
    <w:p w:rsidR="007E35C6" w:rsidRDefault="007E35C6" w:rsidP="00B52561">
      <w:pPr>
        <w:tabs>
          <w:tab w:val="left" w:pos="926"/>
        </w:tabs>
        <w:spacing w:after="240"/>
        <w:ind w:left="32"/>
        <w:rPr>
          <w:rFonts w:hint="cs"/>
          <w:szCs w:val="22"/>
          <w:rtl/>
          <w:lang w:eastAsia="en-US"/>
        </w:rPr>
      </w:pPr>
      <w:r>
        <w:rPr>
          <w:rFonts w:hint="cs"/>
          <w:sz w:val="24"/>
          <w:rtl/>
          <w:lang w:eastAsia="en-US"/>
        </w:rPr>
        <w:t xml:space="preserve">חוק החברות, התשנ"ט </w:t>
      </w:r>
      <w:r>
        <w:rPr>
          <w:sz w:val="24"/>
          <w:rtl/>
          <w:lang w:eastAsia="en-US"/>
        </w:rPr>
        <w:t>–</w:t>
      </w:r>
      <w:r>
        <w:rPr>
          <w:rFonts w:hint="cs"/>
          <w:sz w:val="24"/>
          <w:rtl/>
          <w:lang w:eastAsia="en-US"/>
        </w:rPr>
        <w:t xml:space="preserve"> 1999 ("</w:t>
      </w:r>
      <w:r>
        <w:rPr>
          <w:rFonts w:hint="cs"/>
          <w:b/>
          <w:bCs/>
          <w:sz w:val="24"/>
          <w:rtl/>
          <w:lang w:eastAsia="en-US"/>
        </w:rPr>
        <w:t>חוק החברות</w:t>
      </w:r>
      <w:r>
        <w:rPr>
          <w:rFonts w:hint="cs"/>
          <w:sz w:val="24"/>
          <w:rtl/>
          <w:lang w:eastAsia="en-US"/>
        </w:rPr>
        <w:t>") מתיר לחברה לרכוש את מניותיה ("</w:t>
      </w:r>
      <w:r>
        <w:rPr>
          <w:rFonts w:hint="cs"/>
          <w:b/>
          <w:bCs/>
          <w:sz w:val="24"/>
          <w:rtl/>
          <w:lang w:eastAsia="en-US"/>
        </w:rPr>
        <w:t>רכישה עצמית</w:t>
      </w:r>
      <w:r>
        <w:rPr>
          <w:rFonts w:hint="cs"/>
          <w:sz w:val="24"/>
          <w:rtl/>
          <w:lang w:eastAsia="en-US"/>
        </w:rPr>
        <w:t>") בכפוף למספר תנאים המנויים בו. כאשר רוכשת חברה מניות של עצמה באופן שאינו שוויוני בין בעלי מניותיה משתנה החלק היחסי של בעלי המניות בחברה. הסיבה לכך היא שעל פי דיני החברות, המניות שרכשה החברה הופכות "מניות רדומות" והן אינן מקנות עוד זכויות כלשהן. כך, בעלי המניות מהם לא נרכשו מניות, בכלל או בא</w:t>
      </w:r>
      <w:r w:rsidR="00E90AF2">
        <w:rPr>
          <w:rFonts w:hint="cs"/>
          <w:sz w:val="24"/>
          <w:rtl/>
          <w:lang w:eastAsia="en-US"/>
        </w:rPr>
        <w:t>ו</w:t>
      </w:r>
      <w:r>
        <w:rPr>
          <w:rFonts w:hint="cs"/>
          <w:sz w:val="24"/>
          <w:rtl/>
          <w:lang w:eastAsia="en-US"/>
        </w:rPr>
        <w:t xml:space="preserve">תו שיעור, מגדילים </w:t>
      </w:r>
      <w:r w:rsidR="00E76DAE">
        <w:rPr>
          <w:rFonts w:hint="cs"/>
          <w:sz w:val="24"/>
          <w:rtl/>
          <w:lang w:eastAsia="en-US"/>
        </w:rPr>
        <w:t xml:space="preserve">בשל </w:t>
      </w:r>
      <w:r>
        <w:rPr>
          <w:rFonts w:hint="cs"/>
          <w:sz w:val="24"/>
          <w:rtl/>
          <w:lang w:eastAsia="en-US"/>
        </w:rPr>
        <w:t xml:space="preserve">הרכישה </w:t>
      </w:r>
      <w:r w:rsidR="00E76DAE">
        <w:rPr>
          <w:rFonts w:hint="cs"/>
          <w:sz w:val="24"/>
          <w:rtl/>
          <w:lang w:eastAsia="en-US"/>
        </w:rPr>
        <w:t>האמורה</w:t>
      </w:r>
      <w:r>
        <w:rPr>
          <w:rFonts w:hint="cs"/>
          <w:sz w:val="24"/>
          <w:rtl/>
          <w:lang w:eastAsia="en-US"/>
        </w:rPr>
        <w:t xml:space="preserve"> את שיעור החזקתם בזכויות בחברה. כאשר חוצה בעל מניות, כתוצאה מרכישה עצמית, מדרגת החזקה של 25% בתאגיד (ראה לעיל) קם בינו לבין התאגיד המוחזק על ידו מיזוג חברות כמשמעו בחוק. בחישוב שיעור ההחזקה של כל בעל מניות אין להביא, בסך ההון המוצא של החברה, מניות המוחזקות בידי החברה, בידי חברה בת של החברה, או בידי חברה המצויה בשליטת החברה. דברים אלה יפים גם למצב בו רוכשת חברה בת מניות בחברה האם שלה.</w:t>
      </w:r>
      <w:r w:rsidR="00065179">
        <w:rPr>
          <w:rStyle w:val="FootnoteReference"/>
          <w:sz w:val="24"/>
          <w:rtl/>
          <w:lang w:eastAsia="en-US"/>
        </w:rPr>
        <w:footnoteReference w:id="42"/>
      </w:r>
    </w:p>
    <w:p w:rsidR="007E35C6" w:rsidRDefault="007E35C6" w:rsidP="00B52561">
      <w:pPr>
        <w:tabs>
          <w:tab w:val="left" w:pos="926"/>
        </w:tabs>
        <w:spacing w:after="240"/>
        <w:ind w:left="32"/>
        <w:rPr>
          <w:rFonts w:hint="cs"/>
          <w:sz w:val="24"/>
          <w:rtl/>
          <w:lang w:eastAsia="en-US"/>
        </w:rPr>
      </w:pPr>
      <w:r>
        <w:rPr>
          <w:rFonts w:hint="eastAsia"/>
        </w:rPr>
        <w:t>•</w:t>
      </w:r>
      <w:r>
        <w:rPr>
          <w:rFonts w:hint="cs"/>
          <w:rtl/>
        </w:rPr>
        <w:t xml:space="preserve"> </w:t>
      </w:r>
      <w:r>
        <w:rPr>
          <w:rFonts w:hint="cs"/>
          <w:b/>
          <w:bCs/>
          <w:sz w:val="24"/>
          <w:rtl/>
          <w:lang w:eastAsia="en-US"/>
        </w:rPr>
        <w:t>רכישת זכויות מכוח הסדרים בין בעלי מניות</w:t>
      </w:r>
      <w:r>
        <w:rPr>
          <w:rFonts w:hint="cs"/>
          <w:sz w:val="24"/>
          <w:rtl/>
          <w:lang w:eastAsia="en-US"/>
        </w:rPr>
        <w:t xml:space="preserve"> </w:t>
      </w:r>
    </w:p>
    <w:p w:rsidR="007E35C6" w:rsidRDefault="00477DCC" w:rsidP="00B52561">
      <w:pPr>
        <w:tabs>
          <w:tab w:val="left" w:pos="926"/>
        </w:tabs>
        <w:spacing w:after="240"/>
        <w:ind w:left="32"/>
        <w:rPr>
          <w:rFonts w:hint="cs"/>
          <w:sz w:val="24"/>
          <w:rtl/>
          <w:lang w:eastAsia="en-US"/>
        </w:rPr>
      </w:pPr>
      <w:r>
        <w:rPr>
          <w:rFonts w:hint="cs"/>
          <w:sz w:val="24"/>
          <w:rtl/>
          <w:lang w:eastAsia="en-US"/>
        </w:rPr>
        <w:t xml:space="preserve">בנוסף להסדרים הקוגנטיים שבדין, </w:t>
      </w:r>
      <w:r w:rsidR="007E35C6">
        <w:rPr>
          <w:rFonts w:hint="cs"/>
          <w:sz w:val="24"/>
          <w:rtl/>
          <w:lang w:eastAsia="en-US"/>
        </w:rPr>
        <w:t xml:space="preserve">מערך היחסים בין בעלי המניות בחברה מוסדר על ידי שני </w:t>
      </w:r>
      <w:r>
        <w:rPr>
          <w:rFonts w:hint="cs"/>
          <w:sz w:val="24"/>
          <w:rtl/>
          <w:lang w:eastAsia="en-US"/>
        </w:rPr>
        <w:t xml:space="preserve">כלים </w:t>
      </w:r>
      <w:r w:rsidR="007E35C6">
        <w:rPr>
          <w:rFonts w:hint="cs"/>
          <w:sz w:val="24"/>
          <w:rtl/>
          <w:lang w:eastAsia="en-US"/>
        </w:rPr>
        <w:t xml:space="preserve">עיקריים: תקנון החברה והסדרים ספציפיים בין בעלי מניות. היקף ההחזקה האפקטיבי של בעל מניות בסוג זכויות בחברה עשוי להשתנות בהתאם להסדרים שקיימים בינו לבין בעלי המניות האחרים, בין אם במישור הרחב (תקנון החברה) ובין אם במישור הפרטני (הסדר ספציפי עם בעל מניות אחר). חוק ההגבלים העסקיים קובע מפורשות כי אין כל חשיבות לטכניקה בה מבוצע מיזוג החברות, אלא לאיכות הזיקה האפקטיבית הנוצרת עקב עסקת המיזוג. </w:t>
      </w:r>
      <w:r w:rsidR="007E35C6" w:rsidRPr="00102B02">
        <w:rPr>
          <w:rFonts w:hint="cs"/>
          <w:sz w:val="24"/>
          <w:rtl/>
          <w:lang w:eastAsia="en-US"/>
        </w:rPr>
        <w:t xml:space="preserve">לפיכך, מקום בו </w:t>
      </w:r>
      <w:r w:rsidR="004445C8" w:rsidRPr="00102B02">
        <w:rPr>
          <w:rFonts w:hint="cs"/>
          <w:sz w:val="24"/>
          <w:rtl/>
          <w:lang w:eastAsia="en-US"/>
        </w:rPr>
        <w:t>חוצה הרוכש מדרגת החזקה של רבע מסוג זכויות בתאגיד</w:t>
      </w:r>
      <w:r w:rsidR="007E35C6" w:rsidRPr="00102B02">
        <w:rPr>
          <w:rFonts w:hint="cs"/>
          <w:sz w:val="24"/>
          <w:rtl/>
          <w:lang w:eastAsia="en-US"/>
        </w:rPr>
        <w:t>, בין ישירות ובין עקב הסדר בינו לבין בעלי מניות נוספים, קם מיזוג חברות.</w:t>
      </w:r>
      <w:r w:rsidR="007E35C6" w:rsidRPr="00102B02">
        <w:rPr>
          <w:rStyle w:val="FootnoteReference"/>
          <w:sz w:val="24"/>
          <w:lang w:eastAsia="en-US"/>
        </w:rPr>
        <w:footnoteReference w:id="43"/>
      </w:r>
      <w:r w:rsidR="007E35C6">
        <w:rPr>
          <w:rFonts w:hint="cs"/>
          <w:sz w:val="24"/>
          <w:rtl/>
          <w:lang w:eastAsia="en-US"/>
        </w:rPr>
        <w:t xml:space="preserve">   </w:t>
      </w:r>
    </w:p>
    <w:p w:rsidR="007E35C6" w:rsidRDefault="007E35C6" w:rsidP="00B52561">
      <w:pPr>
        <w:tabs>
          <w:tab w:val="left" w:pos="926"/>
        </w:tabs>
        <w:spacing w:after="240"/>
        <w:ind w:left="32"/>
        <w:rPr>
          <w:rFonts w:hint="cs"/>
          <w:b/>
          <w:bCs/>
          <w:sz w:val="18"/>
          <w:szCs w:val="18"/>
          <w:rtl/>
          <w:lang w:eastAsia="en-US"/>
        </w:rPr>
      </w:pPr>
      <w:r>
        <w:rPr>
          <w:rFonts w:hint="cs"/>
          <w:b/>
          <w:bCs/>
          <w:sz w:val="18"/>
          <w:szCs w:val="18"/>
          <w:rtl/>
          <w:lang w:eastAsia="en-US"/>
        </w:rPr>
        <w:t xml:space="preserve"> </w:t>
      </w:r>
    </w:p>
    <w:p w:rsidR="007E35C6" w:rsidRDefault="007E35C6" w:rsidP="00B52561">
      <w:pPr>
        <w:pStyle w:val="Heading6"/>
        <w:spacing w:after="240"/>
        <w:ind w:left="32"/>
        <w:rPr>
          <w:rFonts w:hint="cs"/>
          <w:sz w:val="26"/>
          <w:szCs w:val="26"/>
          <w:rtl/>
        </w:rPr>
      </w:pPr>
      <w:r>
        <w:rPr>
          <w:rFonts w:hint="cs"/>
          <w:sz w:val="26"/>
          <w:szCs w:val="26"/>
          <w:rtl/>
        </w:rPr>
        <w:t>ג.</w:t>
      </w:r>
      <w:r w:rsidR="00016233">
        <w:rPr>
          <w:rFonts w:hint="cs"/>
          <w:sz w:val="26"/>
          <w:szCs w:val="26"/>
          <w:rtl/>
        </w:rPr>
        <w:t>2</w:t>
      </w:r>
      <w:r>
        <w:rPr>
          <w:rFonts w:hint="cs"/>
          <w:sz w:val="26"/>
          <w:szCs w:val="26"/>
          <w:rtl/>
        </w:rPr>
        <w:t>.</w:t>
      </w:r>
      <w:r w:rsidR="00016233">
        <w:rPr>
          <w:rFonts w:hint="cs"/>
          <w:sz w:val="26"/>
          <w:szCs w:val="26"/>
          <w:rtl/>
        </w:rPr>
        <w:t>3</w:t>
      </w:r>
      <w:r>
        <w:rPr>
          <w:rFonts w:hint="cs"/>
          <w:sz w:val="26"/>
          <w:szCs w:val="26"/>
          <w:rtl/>
        </w:rPr>
        <w:t xml:space="preserve">. מיזוג על דרך רכישת עיקר נכסי חברה </w:t>
      </w:r>
    </w:p>
    <w:p w:rsidR="007E35C6" w:rsidRDefault="007E35C6" w:rsidP="00B52561">
      <w:pPr>
        <w:pStyle w:val="BodyText2"/>
        <w:spacing w:after="240"/>
        <w:ind w:left="32"/>
        <w:rPr>
          <w:rFonts w:hint="cs"/>
          <w:sz w:val="24"/>
          <w:szCs w:val="24"/>
          <w:rtl/>
        </w:rPr>
      </w:pPr>
      <w:r>
        <w:rPr>
          <w:rFonts w:hint="cs"/>
          <w:sz w:val="24"/>
          <w:szCs w:val="24"/>
          <w:rtl/>
        </w:rPr>
        <w:t xml:space="preserve">רכישת השפעה על פעילות עסקית יכולה להיעשות באמצעות דריסת רגל במנגנוני קבלת ההחלטות התאגידיים הנוגעים לפעילות זו, אך גם באמצעות רכישת הפעילות העסקית-ייצורית עצמה </w:t>
      </w:r>
      <w:r>
        <w:rPr>
          <w:rFonts w:hint="cs"/>
          <w:b/>
          <w:bCs/>
          <w:sz w:val="24"/>
          <w:szCs w:val="24"/>
          <w:rtl/>
        </w:rPr>
        <w:t>מן התאגיד</w:t>
      </w:r>
      <w:r>
        <w:rPr>
          <w:rFonts w:hint="cs"/>
          <w:sz w:val="24"/>
          <w:szCs w:val="24"/>
          <w:rtl/>
        </w:rPr>
        <w:t xml:space="preserve">.  </w:t>
      </w:r>
    </w:p>
    <w:p w:rsidR="007E35C6" w:rsidRDefault="007E35C6" w:rsidP="00B52561">
      <w:pPr>
        <w:tabs>
          <w:tab w:val="left" w:pos="926"/>
        </w:tabs>
        <w:spacing w:after="240"/>
        <w:ind w:left="32"/>
        <w:rPr>
          <w:rFonts w:hint="cs"/>
          <w:sz w:val="24"/>
          <w:rtl/>
          <w:lang w:eastAsia="en-US"/>
        </w:rPr>
      </w:pPr>
      <w:r>
        <w:rPr>
          <w:rFonts w:hint="cs"/>
          <w:sz w:val="24"/>
          <w:rtl/>
          <w:lang w:eastAsia="en-US"/>
        </w:rPr>
        <w:t xml:space="preserve">חוק ההגבלים העסקיים מונה רכישת נכסים כאחת הדרכים הטיפוסיות של מיזוג חברות, הגם שבעליל אין מדובר ביצירת זיקה מבנית </w:t>
      </w:r>
      <w:r>
        <w:rPr>
          <w:rFonts w:hint="cs"/>
          <w:b/>
          <w:bCs/>
          <w:sz w:val="24"/>
          <w:rtl/>
          <w:lang w:eastAsia="en-US"/>
        </w:rPr>
        <w:t>בין תאגידים</w:t>
      </w:r>
      <w:r>
        <w:rPr>
          <w:rFonts w:hint="cs"/>
          <w:sz w:val="24"/>
          <w:rtl/>
          <w:lang w:eastAsia="en-US"/>
        </w:rPr>
        <w:t>.  הטעם לכך פשוט: מטרת החוק היא בפיקוח על יצירת זיקה מבנית בין פעילויות עסקיות, ב</w:t>
      </w:r>
      <w:r w:rsidR="00753B8B">
        <w:rPr>
          <w:rFonts w:hint="cs"/>
          <w:sz w:val="24"/>
          <w:rtl/>
          <w:lang w:eastAsia="en-US"/>
        </w:rPr>
        <w:t xml:space="preserve">ין שזיקה זו קמה באמצעות רכישה של פעילות הנעשית תחת כנפיו של תאגיד, ובין שהזיקה קמה באמצעות רכישה ישירה של הפעילות עצמה. </w:t>
      </w:r>
      <w:r>
        <w:rPr>
          <w:rFonts w:hint="cs"/>
          <w:sz w:val="24"/>
          <w:rtl/>
          <w:lang w:eastAsia="en-US"/>
        </w:rPr>
        <w:t xml:space="preserve"> על כן, רכישת "עיקר נכסי חברה" מנויה בחוק כאחד המקרים הפרטניים המובהקים של מיזוג חברות. </w:t>
      </w:r>
    </w:p>
    <w:p w:rsidR="007E35C6" w:rsidRDefault="007E35C6" w:rsidP="00B52561">
      <w:pPr>
        <w:tabs>
          <w:tab w:val="left" w:pos="926"/>
        </w:tabs>
        <w:spacing w:after="240"/>
        <w:ind w:left="32"/>
        <w:rPr>
          <w:rFonts w:hint="cs"/>
          <w:sz w:val="24"/>
          <w:rtl/>
          <w:lang w:eastAsia="en-US"/>
        </w:rPr>
      </w:pPr>
      <w:r>
        <w:rPr>
          <w:rFonts w:hint="cs"/>
          <w:b/>
          <w:bCs/>
          <w:sz w:val="24"/>
          <w:rtl/>
          <w:lang w:eastAsia="en-US"/>
        </w:rPr>
        <w:t>מהו "עיקר נכסי חברה"?</w:t>
      </w:r>
      <w:r>
        <w:rPr>
          <w:rFonts w:hint="cs"/>
          <w:sz w:val="24"/>
          <w:rtl/>
          <w:lang w:eastAsia="en-US"/>
        </w:rPr>
        <w:t xml:space="preserve"> לא אחת נדרשה הרשות לפרשנות ההיגד "עיקר נכסי החברה". במענה לפניות אלה השיבה הרשות, כי מונח זה צריך להתפרש לאור תכלית החוק והערכים המוגנים בו. הואיל ומערך הפיקוח על מיזוגים מבקש למנוע פגיעה בתחרות ובציבור בתחומי פעילות מובחנים</w:t>
      </w:r>
      <w:r w:rsidR="00144869">
        <w:rPr>
          <w:rFonts w:hint="cs"/>
          <w:sz w:val="24"/>
          <w:rtl/>
          <w:lang w:eastAsia="en-US"/>
        </w:rPr>
        <w:t xml:space="preserve"> ("שווקים רלוונטיים")</w:t>
      </w:r>
      <w:r>
        <w:rPr>
          <w:rFonts w:hint="cs"/>
          <w:sz w:val="24"/>
          <w:rtl/>
          <w:lang w:eastAsia="en-US"/>
        </w:rPr>
        <w:t xml:space="preserve">, הרי שההיגד "עיקר נכסי חברה" </w:t>
      </w:r>
      <w:r w:rsidR="00753B8B">
        <w:rPr>
          <w:rFonts w:hint="cs"/>
          <w:sz w:val="24"/>
          <w:rtl/>
          <w:lang w:eastAsia="en-US"/>
        </w:rPr>
        <w:t>נושא פניו</w:t>
      </w:r>
      <w:r>
        <w:rPr>
          <w:rFonts w:hint="cs"/>
          <w:sz w:val="24"/>
          <w:rtl/>
          <w:lang w:eastAsia="en-US"/>
        </w:rPr>
        <w:t xml:space="preserve"> למבחן מהותי </w:t>
      </w:r>
      <w:r>
        <w:rPr>
          <w:sz w:val="24"/>
          <w:rtl/>
          <w:lang w:eastAsia="en-US"/>
        </w:rPr>
        <w:t>–</w:t>
      </w:r>
      <w:r>
        <w:rPr>
          <w:rFonts w:hint="cs"/>
          <w:sz w:val="24"/>
          <w:rtl/>
          <w:lang w:eastAsia="en-US"/>
        </w:rPr>
        <w:t xml:space="preserve"> כלכלי: האם מועבר למעשה, במסגרת העסקה, </w:t>
      </w:r>
      <w:r w:rsidR="00BF4814">
        <w:rPr>
          <w:rFonts w:hint="cs"/>
          <w:sz w:val="24"/>
          <w:rtl/>
          <w:lang w:eastAsia="en-US"/>
        </w:rPr>
        <w:t>נכס המהווה</w:t>
      </w:r>
      <w:r w:rsidR="00753B8B">
        <w:rPr>
          <w:rFonts w:hint="cs"/>
          <w:sz w:val="24"/>
          <w:rtl/>
          <w:lang w:eastAsia="en-US"/>
        </w:rPr>
        <w:t xml:space="preserve"> נדבך </w:t>
      </w:r>
      <w:r w:rsidR="00BF4814">
        <w:rPr>
          <w:rFonts w:hint="cs"/>
          <w:sz w:val="24"/>
          <w:rtl/>
          <w:lang w:eastAsia="en-US"/>
        </w:rPr>
        <w:t>מהותי</w:t>
      </w:r>
      <w:r w:rsidR="00753B8B">
        <w:rPr>
          <w:rFonts w:hint="cs"/>
          <w:sz w:val="24"/>
          <w:rtl/>
          <w:lang w:eastAsia="en-US"/>
        </w:rPr>
        <w:t xml:space="preserve"> בכושר התחרות של התאגיד המוכר</w:t>
      </w:r>
      <w:r>
        <w:rPr>
          <w:rFonts w:hint="cs"/>
          <w:sz w:val="24"/>
          <w:rtl/>
          <w:lang w:eastAsia="en-US"/>
        </w:rPr>
        <w:t xml:space="preserve"> </w:t>
      </w:r>
      <w:r w:rsidR="00BF4814">
        <w:rPr>
          <w:rFonts w:hint="cs"/>
          <w:sz w:val="24"/>
          <w:rtl/>
          <w:lang w:eastAsia="en-US"/>
        </w:rPr>
        <w:t>ב</w:t>
      </w:r>
      <w:r>
        <w:rPr>
          <w:rFonts w:hint="cs"/>
          <w:sz w:val="24"/>
          <w:rtl/>
          <w:lang w:eastAsia="en-US"/>
        </w:rPr>
        <w:t xml:space="preserve">תחום פעילות </w:t>
      </w:r>
      <w:r w:rsidR="00BF4814">
        <w:rPr>
          <w:rFonts w:hint="cs"/>
          <w:sz w:val="24"/>
          <w:rtl/>
          <w:lang w:eastAsia="en-US"/>
        </w:rPr>
        <w:t>מובחן</w:t>
      </w:r>
      <w:r>
        <w:rPr>
          <w:rFonts w:hint="cs"/>
          <w:sz w:val="24"/>
          <w:rtl/>
          <w:lang w:eastAsia="en-US"/>
        </w:rPr>
        <w:t xml:space="preserve">.  אם התשובה לכך היא בחיוב </w:t>
      </w:r>
      <w:r>
        <w:rPr>
          <w:sz w:val="24"/>
          <w:rtl/>
          <w:lang w:eastAsia="en-US"/>
        </w:rPr>
        <w:t>–</w:t>
      </w:r>
      <w:r>
        <w:rPr>
          <w:rFonts w:hint="cs"/>
          <w:sz w:val="24"/>
          <w:rtl/>
          <w:lang w:eastAsia="en-US"/>
        </w:rPr>
        <w:t xml:space="preserve"> כי אז לפנינו "מיזוג חברות", גם אם תחומי פעילות אחרים של התאגיד המוכר עולים בשווים על הנכסים הנמכרים.  המסקנה היא אפוא כי מדובר </w:t>
      </w:r>
      <w:r w:rsidR="00BF4814">
        <w:rPr>
          <w:rFonts w:hint="cs"/>
          <w:sz w:val="24"/>
          <w:rtl/>
          <w:lang w:eastAsia="en-US"/>
        </w:rPr>
        <w:t>בנכס המהווה נדבך מהותי בכושר התחרות במסגרת</w:t>
      </w:r>
      <w:r>
        <w:rPr>
          <w:rFonts w:hint="cs"/>
          <w:sz w:val="24"/>
          <w:rtl/>
          <w:lang w:eastAsia="en-US"/>
        </w:rPr>
        <w:t xml:space="preserve"> </w:t>
      </w:r>
      <w:r>
        <w:rPr>
          <w:sz w:val="24"/>
          <w:lang w:eastAsia="en-US"/>
        </w:rPr>
        <w:t>Line of business</w:t>
      </w:r>
      <w:r>
        <w:rPr>
          <w:rFonts w:hint="cs"/>
          <w:sz w:val="24"/>
          <w:rtl/>
          <w:lang w:eastAsia="en-US"/>
        </w:rPr>
        <w:t xml:space="preserve">.  הטעם המרכזי לכך הוא שהשפעת מכירתו של תחום פעילות על התחרות זהה, בין אם התאגיד המוכר פעל אך ורק בתחום הפעילות הנמכר ובין אם פעל גם בתחומים רבים אחרים, אשר תחום הפעילות הנמכר היה מן המצומצמים והקטנים שבהם. </w:t>
      </w:r>
    </w:p>
    <w:p w:rsidR="007E35C6" w:rsidRDefault="007E35C6" w:rsidP="00B52561">
      <w:pPr>
        <w:tabs>
          <w:tab w:val="left" w:pos="926"/>
        </w:tabs>
        <w:spacing w:after="240"/>
        <w:ind w:left="32"/>
        <w:rPr>
          <w:rFonts w:hint="cs"/>
          <w:sz w:val="24"/>
          <w:rtl/>
          <w:lang w:eastAsia="en-US"/>
        </w:rPr>
      </w:pPr>
      <w:r>
        <w:rPr>
          <w:rFonts w:hint="cs"/>
          <w:sz w:val="24"/>
          <w:rtl/>
          <w:lang w:eastAsia="en-US"/>
        </w:rPr>
        <w:t>מאידך ברור</w:t>
      </w:r>
      <w:r w:rsidR="00F073EE">
        <w:rPr>
          <w:rFonts w:hint="cs"/>
          <w:sz w:val="24"/>
          <w:rtl/>
          <w:lang w:eastAsia="en-US"/>
        </w:rPr>
        <w:t>,</w:t>
      </w:r>
      <w:r>
        <w:rPr>
          <w:rFonts w:hint="cs"/>
          <w:sz w:val="24"/>
          <w:rtl/>
          <w:lang w:eastAsia="en-US"/>
        </w:rPr>
        <w:t xml:space="preserve"> כי כאשר מדובר ב"עיקר הנכסים" מחריגה ההגדרה מכירה של מיעוט הנכסים ב</w:t>
      </w:r>
      <w:r>
        <w:rPr>
          <w:rFonts w:hint="cs"/>
          <w:b/>
          <w:bCs/>
          <w:sz w:val="24"/>
          <w:rtl/>
          <w:lang w:eastAsia="en-US"/>
        </w:rPr>
        <w:t>אותו תחום פעילות</w:t>
      </w:r>
      <w:r>
        <w:rPr>
          <w:rFonts w:hint="cs"/>
          <w:sz w:val="24"/>
          <w:rtl/>
          <w:lang w:eastAsia="en-US"/>
        </w:rPr>
        <w:t xml:space="preserve">.  מכירה כזו אינה נכנסת כלל להגדרת "מיזוג חברות".  עם זאת, יש להבהיר גם כאן </w:t>
      </w:r>
      <w:r w:rsidR="00F506B1">
        <w:rPr>
          <w:rFonts w:hint="cs"/>
          <w:sz w:val="24"/>
          <w:rtl/>
          <w:lang w:eastAsia="en-US"/>
        </w:rPr>
        <w:t xml:space="preserve">מספר </w:t>
      </w:r>
      <w:r>
        <w:rPr>
          <w:rFonts w:hint="cs"/>
          <w:sz w:val="24"/>
          <w:rtl/>
          <w:lang w:eastAsia="en-US"/>
        </w:rPr>
        <w:t xml:space="preserve"> היבטים מעשיים שעלו במהלך השנים:</w:t>
      </w:r>
    </w:p>
    <w:p w:rsidR="00F506B1" w:rsidRDefault="007E35C6" w:rsidP="00B52561">
      <w:pPr>
        <w:tabs>
          <w:tab w:val="left" w:pos="926"/>
        </w:tabs>
        <w:spacing w:after="240"/>
        <w:ind w:left="32"/>
        <w:rPr>
          <w:rFonts w:hint="cs"/>
          <w:sz w:val="24"/>
          <w:rtl/>
          <w:lang w:eastAsia="en-US"/>
        </w:rPr>
      </w:pPr>
      <w:r w:rsidRPr="00F506B1">
        <w:rPr>
          <w:rFonts w:hint="cs"/>
          <w:sz w:val="24"/>
          <w:u w:val="single"/>
          <w:rtl/>
          <w:lang w:eastAsia="en-US"/>
        </w:rPr>
        <w:t>ראשית</w:t>
      </w:r>
      <w:r>
        <w:rPr>
          <w:rFonts w:hint="cs"/>
          <w:sz w:val="24"/>
          <w:rtl/>
          <w:lang w:eastAsia="en-US"/>
        </w:rPr>
        <w:t xml:space="preserve">, במונח "עיקר" אין הכוונה בהכרח לחלק הארי, אלא לחלק מהותי </w:t>
      </w:r>
      <w:r>
        <w:rPr>
          <w:sz w:val="24"/>
          <w:lang w:eastAsia="en-US"/>
        </w:rPr>
        <w:t>(Substantial)</w:t>
      </w:r>
      <w:r>
        <w:rPr>
          <w:rFonts w:hint="cs"/>
          <w:sz w:val="24"/>
          <w:rtl/>
          <w:lang w:eastAsia="en-US"/>
        </w:rPr>
        <w:t xml:space="preserve"> </w:t>
      </w:r>
      <w:r w:rsidR="00BF4814">
        <w:rPr>
          <w:rFonts w:hint="cs"/>
          <w:sz w:val="24"/>
          <w:rtl/>
          <w:lang w:eastAsia="en-US"/>
        </w:rPr>
        <w:t>מכושר התחרות של התאגיד ב</w:t>
      </w:r>
      <w:r>
        <w:rPr>
          <w:rFonts w:hint="cs"/>
          <w:sz w:val="24"/>
          <w:rtl/>
          <w:lang w:eastAsia="en-US"/>
        </w:rPr>
        <w:t xml:space="preserve">תחום הפעילות.  </w:t>
      </w:r>
      <w:r w:rsidR="00C30F3F">
        <w:rPr>
          <w:rFonts w:hint="cs"/>
          <w:sz w:val="24"/>
          <w:rtl/>
          <w:lang w:eastAsia="en-US"/>
        </w:rPr>
        <w:t xml:space="preserve">כך, להמחשה, תאגיד המוכר את סימן המסחר תחתיו הוא משווק את מוצריו, עשוי למכור את עיקר נכסיו, אף אם הותיר בידיו את כל מתקני הייצור ואת יתרת נכסי התאגיד. בנסיבות בהן לסימן המסחר השפעה מהותית על כושר התחרות של שחקן בענף, הקמת זיקה </w:t>
      </w:r>
      <w:r w:rsidR="0079333D">
        <w:rPr>
          <w:rFonts w:hint="cs"/>
          <w:sz w:val="24"/>
          <w:rtl/>
          <w:lang w:eastAsia="en-US"/>
        </w:rPr>
        <w:t>בין רוכש חדש לבין סימן מסחר זה צריכה להיבחן מבעד לעדשת הפיקוח על מיזוגים.</w:t>
      </w:r>
      <w:r w:rsidR="00C30F3F">
        <w:rPr>
          <w:rFonts w:hint="cs"/>
          <w:sz w:val="24"/>
          <w:rtl/>
          <w:lang w:eastAsia="en-US"/>
        </w:rPr>
        <w:t xml:space="preserve"> מקרה נוסף של מכירת עיקר נכסים, יימצא</w:t>
      </w:r>
      <w:r w:rsidR="00F506B1">
        <w:rPr>
          <w:rFonts w:hint="cs"/>
          <w:sz w:val="24"/>
          <w:rtl/>
          <w:lang w:eastAsia="en-US"/>
        </w:rPr>
        <w:t xml:space="preserve"> </w:t>
      </w:r>
      <w:r w:rsidR="00C30F3F">
        <w:rPr>
          <w:rFonts w:hint="cs"/>
          <w:sz w:val="24"/>
          <w:rtl/>
          <w:lang w:eastAsia="en-US"/>
        </w:rPr>
        <w:t>ב</w:t>
      </w:r>
      <w:r>
        <w:rPr>
          <w:rFonts w:hint="cs"/>
          <w:sz w:val="24"/>
          <w:rtl/>
          <w:lang w:eastAsia="en-US"/>
        </w:rPr>
        <w:t xml:space="preserve">מכירת עיקר </w:t>
      </w:r>
      <w:r w:rsidR="00C30F3F">
        <w:rPr>
          <w:rFonts w:hint="cs"/>
          <w:sz w:val="24"/>
          <w:rtl/>
          <w:lang w:eastAsia="en-US"/>
        </w:rPr>
        <w:t>ה</w:t>
      </w:r>
      <w:r>
        <w:rPr>
          <w:rFonts w:hint="cs"/>
          <w:sz w:val="24"/>
          <w:rtl/>
          <w:lang w:eastAsia="en-US"/>
        </w:rPr>
        <w:t>נכסים המשמשים לפעילות בשוק גיאוגרפי מובחן, אף אם נותרים בידי החברה נכסים בעלי שווי רב יותר באותו תחום פעילות</w:t>
      </w:r>
      <w:r w:rsidR="00A96C6C">
        <w:rPr>
          <w:rFonts w:hint="cs"/>
          <w:sz w:val="24"/>
          <w:rtl/>
          <w:lang w:eastAsia="en-US"/>
        </w:rPr>
        <w:t>, באזורי תחרות אחרים</w:t>
      </w:r>
      <w:r>
        <w:rPr>
          <w:rFonts w:hint="cs"/>
          <w:sz w:val="24"/>
          <w:rtl/>
          <w:lang w:eastAsia="en-US"/>
        </w:rPr>
        <w:t>.</w:t>
      </w:r>
      <w:r>
        <w:rPr>
          <w:rStyle w:val="FootnoteReference"/>
          <w:sz w:val="24"/>
          <w:rtl/>
          <w:lang w:eastAsia="en-US"/>
        </w:rPr>
        <w:footnoteReference w:id="44"/>
      </w:r>
      <w:r>
        <w:rPr>
          <w:rFonts w:hint="cs"/>
          <w:sz w:val="24"/>
          <w:rtl/>
          <w:lang w:eastAsia="en-US"/>
        </w:rPr>
        <w:t xml:space="preserve"> </w:t>
      </w:r>
    </w:p>
    <w:p w:rsidR="0046495C" w:rsidRDefault="007E35C6" w:rsidP="0080253F">
      <w:pPr>
        <w:tabs>
          <w:tab w:val="left" w:pos="926"/>
        </w:tabs>
        <w:spacing w:after="240"/>
        <w:ind w:left="32"/>
        <w:rPr>
          <w:rFonts w:hint="cs"/>
          <w:sz w:val="24"/>
          <w:rtl/>
          <w:lang w:eastAsia="en-US"/>
        </w:rPr>
      </w:pPr>
      <w:r>
        <w:rPr>
          <w:rFonts w:hint="cs"/>
          <w:sz w:val="24"/>
          <w:rtl/>
          <w:lang w:eastAsia="en-US"/>
        </w:rPr>
        <w:t xml:space="preserve">מצב אחר שייתפס ברשת הרחבה שפורש החוק הוא מכירה של נכסים "בטפטוף". עסק המוכר את נכסיו לרוכש מסוים במספר עסקאות נפרדות, בפרק זמן קצר יחסית, ייחשב לצורך החוק כמי שמכר את כלל הנכסים שהועברו בעסקה אחת. הטעם לכך הוא שעניינה של הגדרת מיזוג חברות במהותן של עסקאות ולא במסגרות הפורמליות בהן עוטפים אותם הצדדים. </w:t>
      </w:r>
      <w:r w:rsidR="0046495C" w:rsidRPr="0046495C">
        <w:rPr>
          <w:rFonts w:hint="cs"/>
          <w:b/>
          <w:bCs/>
          <w:sz w:val="24"/>
          <w:rtl/>
          <w:lang w:eastAsia="en-US"/>
        </w:rPr>
        <w:t>ההתמקדות במהות ולא בצורה</w:t>
      </w:r>
      <w:r w:rsidR="0046495C">
        <w:rPr>
          <w:rFonts w:hint="cs"/>
          <w:sz w:val="24"/>
          <w:rtl/>
          <w:lang w:eastAsia="en-US"/>
        </w:rPr>
        <w:t xml:space="preserve"> היא הבריח התיכון עליו נשען משטר הפיקוח ובלעדיו לא תיכון הגנה אפקטיבית לתחרות החופשית. </w:t>
      </w:r>
    </w:p>
    <w:p w:rsidR="007E35C6" w:rsidRDefault="007E35C6" w:rsidP="00B52561">
      <w:pPr>
        <w:tabs>
          <w:tab w:val="left" w:pos="926"/>
        </w:tabs>
        <w:spacing w:after="240"/>
        <w:ind w:left="32"/>
        <w:rPr>
          <w:rFonts w:hint="cs"/>
          <w:sz w:val="24"/>
          <w:rtl/>
          <w:lang w:eastAsia="en-US"/>
        </w:rPr>
      </w:pPr>
      <w:r>
        <w:rPr>
          <w:rFonts w:hint="cs"/>
          <w:sz w:val="24"/>
          <w:rtl/>
          <w:lang w:eastAsia="en-US"/>
        </w:rPr>
        <w:t>כללם של דברים, הגדרת מיזוג חברות תחול גם על רכישת חלק מנכסי החברה המהווים יחידה מובחנת מפעילויות אחרות של החברה וכן על רכישת נכסים בעלי השפעה מהותית על כושר התחרות של החברה בתחום פעילות מסוים.</w:t>
      </w:r>
      <w:r>
        <w:rPr>
          <w:rStyle w:val="FootnoteReference"/>
          <w:sz w:val="24"/>
          <w:rtl/>
          <w:lang w:eastAsia="en-US"/>
        </w:rPr>
        <w:footnoteReference w:id="45"/>
      </w:r>
      <w:r>
        <w:rPr>
          <w:rFonts w:hint="cs"/>
          <w:sz w:val="24"/>
          <w:rtl/>
          <w:lang w:eastAsia="en-US"/>
        </w:rPr>
        <w:t xml:space="preserve">   </w:t>
      </w:r>
    </w:p>
    <w:p w:rsidR="007E35C6" w:rsidRDefault="007E35C6" w:rsidP="00B52561">
      <w:pPr>
        <w:tabs>
          <w:tab w:val="left" w:pos="926"/>
        </w:tabs>
        <w:spacing w:after="240"/>
        <w:ind w:left="32"/>
        <w:rPr>
          <w:rFonts w:hint="cs"/>
          <w:b/>
          <w:bCs/>
          <w:szCs w:val="22"/>
          <w:rtl/>
          <w:lang w:eastAsia="en-US"/>
        </w:rPr>
      </w:pPr>
      <w:r>
        <w:rPr>
          <w:rFonts w:hint="cs"/>
          <w:b/>
          <w:bCs/>
          <w:szCs w:val="22"/>
          <w:rtl/>
          <w:lang w:eastAsia="en-US"/>
        </w:rPr>
        <w:t xml:space="preserve"> </w:t>
      </w:r>
    </w:p>
    <w:p w:rsidR="007E35C6" w:rsidRPr="00C65204" w:rsidRDefault="007E35C6" w:rsidP="00055C82">
      <w:pPr>
        <w:pStyle w:val="Heading1"/>
        <w:numPr>
          <w:ilvl w:val="0"/>
          <w:numId w:val="12"/>
        </w:numPr>
        <w:rPr>
          <w:rFonts w:cs="David" w:hint="cs"/>
          <w:rtl/>
          <w:lang w:eastAsia="en-US"/>
        </w:rPr>
      </w:pPr>
      <w:bookmarkStart w:id="12" w:name="_Toc151956808"/>
      <w:r w:rsidRPr="00C65204">
        <w:rPr>
          <w:rFonts w:cs="David" w:hint="cs"/>
          <w:rtl/>
          <w:lang w:eastAsia="en-US"/>
        </w:rPr>
        <w:t>סיווג העסקה: מיהי "חברה" לצורך פרק מיזוגי החברות</w:t>
      </w:r>
      <w:bookmarkEnd w:id="12"/>
      <w:r w:rsidRPr="00C65204">
        <w:rPr>
          <w:rFonts w:cs="David" w:hint="cs"/>
          <w:rtl/>
          <w:lang w:eastAsia="en-US"/>
        </w:rPr>
        <w:t xml:space="preserve"> </w:t>
      </w:r>
    </w:p>
    <w:p w:rsidR="007E35C6" w:rsidRPr="008F76DA" w:rsidRDefault="007E35C6" w:rsidP="008F76DA">
      <w:pPr>
        <w:pStyle w:val="Heading2"/>
        <w:rPr>
          <w:rFonts w:cs="David" w:hint="cs"/>
          <w:i w:val="0"/>
          <w:iCs w:val="0"/>
          <w:rtl/>
        </w:rPr>
      </w:pPr>
      <w:bookmarkStart w:id="13" w:name="_Toc151956809"/>
      <w:r w:rsidRPr="008F76DA">
        <w:rPr>
          <w:rFonts w:cs="David" w:hint="cs"/>
          <w:i w:val="0"/>
          <w:iCs w:val="0"/>
          <w:rtl/>
        </w:rPr>
        <w:t>ד.1. כללי</w:t>
      </w:r>
      <w:bookmarkEnd w:id="13"/>
    </w:p>
    <w:p w:rsidR="007E35C6" w:rsidRDefault="007E35C6" w:rsidP="00B52561">
      <w:pPr>
        <w:tabs>
          <w:tab w:val="left" w:pos="926"/>
        </w:tabs>
        <w:spacing w:after="240"/>
        <w:ind w:left="32"/>
        <w:rPr>
          <w:rFonts w:hint="cs"/>
          <w:sz w:val="24"/>
          <w:rtl/>
          <w:lang w:eastAsia="en-US"/>
        </w:rPr>
      </w:pPr>
      <w:r>
        <w:rPr>
          <w:rFonts w:hint="cs"/>
          <w:sz w:val="24"/>
          <w:rtl/>
          <w:lang w:eastAsia="en-US"/>
        </w:rPr>
        <w:t>המונח "</w:t>
      </w:r>
      <w:r>
        <w:rPr>
          <w:rFonts w:hint="cs"/>
          <w:b/>
          <w:bCs/>
          <w:sz w:val="24"/>
          <w:rtl/>
          <w:lang w:eastAsia="en-US"/>
        </w:rPr>
        <w:t>חברה</w:t>
      </w:r>
      <w:r>
        <w:rPr>
          <w:rFonts w:hint="cs"/>
          <w:sz w:val="24"/>
          <w:rtl/>
          <w:lang w:eastAsia="en-US"/>
        </w:rPr>
        <w:t xml:space="preserve">" מוגדר בסעיף 1 לחוק ההגבלים העסקיים כך: </w:t>
      </w:r>
    </w:p>
    <w:p w:rsidR="007E35C6" w:rsidRDefault="007E35C6" w:rsidP="00B52561">
      <w:pPr>
        <w:pStyle w:val="-"/>
        <w:rPr>
          <w:rFonts w:hint="cs"/>
          <w:rtl/>
          <w:lang w:eastAsia="en-US"/>
        </w:rPr>
      </w:pPr>
      <w:r>
        <w:rPr>
          <w:rFonts w:hint="cs"/>
          <w:rtl/>
          <w:lang w:eastAsia="en-US"/>
        </w:rPr>
        <w:t>"חברה שנוסדה ונרשמה לפי פקודת החברות [נוסח חדש] התשמ"ג - 1983, לרבות חברת חוץ שנרשמה כאמור, אגודה שיתופית רשומה כמשמעותה בפקודת האגודות השיתופיות ושותפות שנרשמה לפי פקודת השותפויות [נוסח חדש], התשל"ה  - 1975;"</w:t>
      </w:r>
    </w:p>
    <w:p w:rsidR="007E35C6" w:rsidRDefault="007E35C6" w:rsidP="00CB5B03">
      <w:pPr>
        <w:pStyle w:val="BodyTextIndent3"/>
        <w:spacing w:after="240"/>
        <w:ind w:left="32"/>
        <w:rPr>
          <w:rFonts w:hint="cs"/>
          <w:rtl/>
        </w:rPr>
      </w:pPr>
      <w:r>
        <w:rPr>
          <w:rFonts w:hint="cs"/>
          <w:rtl/>
        </w:rPr>
        <w:t>לאור לשונה של ההגדרה עולות ש</w:t>
      </w:r>
      <w:r w:rsidR="00CB5B03">
        <w:rPr>
          <w:rFonts w:hint="cs"/>
          <w:rtl/>
        </w:rPr>
        <w:t xml:space="preserve">תי </w:t>
      </w:r>
      <w:r>
        <w:rPr>
          <w:rFonts w:hint="cs"/>
          <w:rtl/>
        </w:rPr>
        <w:t xml:space="preserve">שאלות עיקריות, בהן נדון כסדרן: </w:t>
      </w:r>
      <w:r>
        <w:rPr>
          <w:rFonts w:hint="cs"/>
          <w:b/>
          <w:bCs/>
          <w:rtl/>
        </w:rPr>
        <w:t>ראשית</w:t>
      </w:r>
      <w:r>
        <w:rPr>
          <w:rFonts w:hint="cs"/>
          <w:rtl/>
        </w:rPr>
        <w:t xml:space="preserve">, האם חל החוק גם על אדם הרוכש עסק בכשרותו הפרטית? </w:t>
      </w:r>
      <w:r w:rsidR="00CB5B03">
        <w:rPr>
          <w:rFonts w:hint="cs"/>
          <w:b/>
          <w:bCs/>
          <w:rtl/>
        </w:rPr>
        <w:t>ו</w:t>
      </w:r>
      <w:r>
        <w:rPr>
          <w:rFonts w:hint="cs"/>
          <w:b/>
          <w:bCs/>
          <w:rtl/>
        </w:rPr>
        <w:t>שנית</w:t>
      </w:r>
      <w:r>
        <w:rPr>
          <w:rFonts w:hint="cs"/>
          <w:rtl/>
        </w:rPr>
        <w:t xml:space="preserve">, האם חל החוק על תאגיד זר שלא נרשם בישראל כחברת חוץ? </w:t>
      </w:r>
      <w:r w:rsidR="00054A55">
        <w:rPr>
          <w:rFonts w:hint="cs"/>
          <w:rtl/>
        </w:rPr>
        <w:t xml:space="preserve"> </w:t>
      </w:r>
    </w:p>
    <w:p w:rsidR="007E35C6" w:rsidRPr="008F76DA" w:rsidRDefault="007E35C6" w:rsidP="008F76DA">
      <w:pPr>
        <w:pStyle w:val="Heading2"/>
        <w:rPr>
          <w:rFonts w:cs="David" w:hint="cs"/>
          <w:i w:val="0"/>
          <w:iCs w:val="0"/>
        </w:rPr>
      </w:pPr>
      <w:bookmarkStart w:id="14" w:name="_Toc151956810"/>
      <w:r w:rsidRPr="008F76DA">
        <w:rPr>
          <w:rFonts w:cs="David" w:hint="cs"/>
          <w:i w:val="0"/>
          <w:iCs w:val="0"/>
          <w:rtl/>
        </w:rPr>
        <w:t>ד.2</w:t>
      </w:r>
      <w:r w:rsidR="009B4D97" w:rsidRPr="008F76DA">
        <w:rPr>
          <w:rFonts w:cs="David" w:hint="cs"/>
          <w:i w:val="0"/>
          <w:iCs w:val="0"/>
          <w:rtl/>
        </w:rPr>
        <w:t>.</w:t>
      </w:r>
      <w:r w:rsidRPr="008F76DA">
        <w:rPr>
          <w:rFonts w:cs="David" w:hint="cs"/>
          <w:i w:val="0"/>
          <w:iCs w:val="0"/>
          <w:rtl/>
        </w:rPr>
        <w:t xml:space="preserve"> רכישת זכויות על ידי אדם פרטי</w:t>
      </w:r>
      <w:bookmarkEnd w:id="14"/>
      <w:r w:rsidRPr="008F76DA">
        <w:rPr>
          <w:rFonts w:cs="David" w:hint="cs"/>
          <w:i w:val="0"/>
          <w:iCs w:val="0"/>
          <w:rtl/>
        </w:rPr>
        <w:t xml:space="preserve"> </w:t>
      </w:r>
    </w:p>
    <w:p w:rsidR="007E35C6" w:rsidRDefault="007E35C6" w:rsidP="00B52561">
      <w:pPr>
        <w:pStyle w:val="BodyText2"/>
        <w:spacing w:after="240"/>
        <w:ind w:left="32"/>
        <w:rPr>
          <w:rFonts w:hint="cs"/>
          <w:sz w:val="24"/>
          <w:szCs w:val="24"/>
          <w:rtl/>
        </w:rPr>
      </w:pPr>
      <w:r>
        <w:rPr>
          <w:rFonts w:hint="cs"/>
          <w:sz w:val="24"/>
          <w:szCs w:val="24"/>
          <w:rtl/>
        </w:rPr>
        <w:t xml:space="preserve">הפיקוח על מיזוגים נועד לחול על אותן עסקאות המקימות זיקה </w:t>
      </w:r>
      <w:r w:rsidR="00C767AD">
        <w:rPr>
          <w:rFonts w:hint="cs"/>
          <w:sz w:val="24"/>
          <w:szCs w:val="24"/>
          <w:rtl/>
        </w:rPr>
        <w:t xml:space="preserve">ממשית </w:t>
      </w:r>
      <w:r>
        <w:rPr>
          <w:rFonts w:hint="cs"/>
          <w:sz w:val="24"/>
          <w:szCs w:val="24"/>
          <w:rtl/>
        </w:rPr>
        <w:t>בין מנגנוני קבלת ההחלטות של גופים עסקיים (או מחזקות אותה).  הנחת המחוקק היתה כי הפיקוח על המיזוגים צריך לכוון אל מעשיהם של גופים</w:t>
      </w:r>
      <w:r w:rsidR="0035302F">
        <w:rPr>
          <w:rFonts w:hint="cs"/>
          <w:sz w:val="24"/>
          <w:szCs w:val="24"/>
          <w:rtl/>
        </w:rPr>
        <w:t xml:space="preserve"> </w:t>
      </w:r>
      <w:r>
        <w:rPr>
          <w:rFonts w:hint="cs"/>
          <w:sz w:val="24"/>
          <w:szCs w:val="24"/>
          <w:rtl/>
        </w:rPr>
        <w:t xml:space="preserve">עסקיים </w:t>
      </w:r>
      <w:r w:rsidR="0035302F">
        <w:rPr>
          <w:rFonts w:hint="cs"/>
          <w:sz w:val="24"/>
          <w:szCs w:val="24"/>
          <w:rtl/>
        </w:rPr>
        <w:t xml:space="preserve">גדולים, </w:t>
      </w:r>
      <w:r>
        <w:rPr>
          <w:rFonts w:hint="cs"/>
          <w:sz w:val="24"/>
          <w:szCs w:val="24"/>
          <w:rtl/>
        </w:rPr>
        <w:t>ואלה</w:t>
      </w:r>
      <w:r w:rsidR="0035302F">
        <w:rPr>
          <w:rFonts w:hint="cs"/>
          <w:sz w:val="24"/>
          <w:szCs w:val="24"/>
          <w:rtl/>
        </w:rPr>
        <w:t xml:space="preserve">, מטבע הדברים, </w:t>
      </w:r>
      <w:r>
        <w:rPr>
          <w:rFonts w:hint="cs"/>
          <w:sz w:val="24"/>
          <w:szCs w:val="24"/>
          <w:rtl/>
        </w:rPr>
        <w:t>פועלים בצורה מואגדת.  לפיכך, ככלל אין הפיקוח התחרותי על מיזוג</w:t>
      </w:r>
      <w:r w:rsidR="0035302F">
        <w:rPr>
          <w:rFonts w:hint="cs"/>
          <w:sz w:val="24"/>
          <w:szCs w:val="24"/>
          <w:rtl/>
        </w:rPr>
        <w:t>י</w:t>
      </w:r>
      <w:r>
        <w:rPr>
          <w:rFonts w:hint="cs"/>
          <w:sz w:val="24"/>
          <w:szCs w:val="24"/>
          <w:rtl/>
        </w:rPr>
        <w:t xml:space="preserve"> חברות חל על רכישת עסקים שמבצע אדם פרטי.  </w:t>
      </w:r>
    </w:p>
    <w:p w:rsidR="007E35C6" w:rsidRDefault="007E35C6" w:rsidP="00C767AD">
      <w:pPr>
        <w:pStyle w:val="BodyTextIndent3"/>
        <w:spacing w:after="240"/>
        <w:ind w:left="32"/>
        <w:rPr>
          <w:rFonts w:hint="cs"/>
          <w:rtl/>
        </w:rPr>
      </w:pPr>
      <w:r>
        <w:rPr>
          <w:rFonts w:hint="cs"/>
          <w:rtl/>
        </w:rPr>
        <w:t>אולם, המצב שונה בתכלית כאשר אדם המחזיק ב</w:t>
      </w:r>
      <w:r w:rsidR="00A96C6C">
        <w:rPr>
          <w:rFonts w:hint="cs"/>
          <w:rtl/>
        </w:rPr>
        <w:t>זיקת השפעה</w:t>
      </w:r>
      <w:r>
        <w:rPr>
          <w:rFonts w:hint="cs"/>
          <w:rtl/>
        </w:rPr>
        <w:t xml:space="preserve"> </w:t>
      </w:r>
      <w:r w:rsidR="00C767AD">
        <w:rPr>
          <w:rFonts w:hint="cs"/>
          <w:rtl/>
        </w:rPr>
        <w:t xml:space="preserve">ממשית </w:t>
      </w:r>
      <w:r>
        <w:rPr>
          <w:rFonts w:hint="cs"/>
          <w:rtl/>
        </w:rPr>
        <w:t>בתאגיד אחד רוכש זכויות</w:t>
      </w:r>
      <w:r w:rsidR="00A96C6C">
        <w:rPr>
          <w:rFonts w:hint="cs"/>
          <w:rtl/>
        </w:rPr>
        <w:t xml:space="preserve"> המקנות לו זיקת השפעה </w:t>
      </w:r>
      <w:r w:rsidR="00C767AD">
        <w:rPr>
          <w:rFonts w:hint="cs"/>
          <w:rtl/>
        </w:rPr>
        <w:t xml:space="preserve">ממשית </w:t>
      </w:r>
      <w:r>
        <w:rPr>
          <w:rtl/>
        </w:rPr>
        <w:t>–</w:t>
      </w:r>
      <w:r>
        <w:rPr>
          <w:rFonts w:hint="cs"/>
          <w:rtl/>
        </w:rPr>
        <w:t xml:space="preserve"> אפילו הוא עושה כן בכשרותו כאדם פרטי </w:t>
      </w:r>
      <w:r>
        <w:rPr>
          <w:rtl/>
        </w:rPr>
        <w:t>–</w:t>
      </w:r>
      <w:r>
        <w:rPr>
          <w:rFonts w:hint="cs"/>
          <w:rtl/>
        </w:rPr>
        <w:t xml:space="preserve"> בתאגיד אחר: במקרה זה,</w:t>
      </w:r>
      <w:r>
        <w:rPr>
          <w:rFonts w:hint="cs"/>
          <w:b/>
          <w:bCs/>
          <w:rtl/>
        </w:rPr>
        <w:t xml:space="preserve"> </w:t>
      </w:r>
      <w:r>
        <w:rPr>
          <w:rFonts w:hint="cs"/>
          <w:rtl/>
        </w:rPr>
        <w:t xml:space="preserve">נוצרת זיקה </w:t>
      </w:r>
      <w:r w:rsidR="00560519">
        <w:rPr>
          <w:rFonts w:hint="cs"/>
          <w:rtl/>
        </w:rPr>
        <w:t xml:space="preserve">ממשית </w:t>
      </w:r>
      <w:r>
        <w:rPr>
          <w:rFonts w:hint="cs"/>
          <w:rtl/>
        </w:rPr>
        <w:t xml:space="preserve">ברורה בין מנגנוני קבלת ההחלטות של שתי החברות המוחזקות על ידי אותו אדם. עסקה כזו מסווגת כמיזוג חברות הן על פי לשון החוק (מדובר במיזוג חברות בעקיפין) והן לפי תכליתו. עסקה כזו מקימה מיזוג חברות גם על פי הרובד הכללי הרחב, באשר יש בה משום יצירת זיקה </w:t>
      </w:r>
      <w:r w:rsidR="00560519">
        <w:rPr>
          <w:rFonts w:hint="cs"/>
          <w:rtl/>
        </w:rPr>
        <w:t xml:space="preserve">ממשית </w:t>
      </w:r>
      <w:r>
        <w:rPr>
          <w:rFonts w:hint="cs"/>
          <w:rtl/>
        </w:rPr>
        <w:t>בין מנגנוני קבלת ההחלטות של גופים עסקיים שפעלו קודם לכן בנפרד</w:t>
      </w:r>
      <w:r w:rsidR="00951DD3">
        <w:rPr>
          <w:rFonts w:hint="cs"/>
          <w:rtl/>
        </w:rPr>
        <w:t>.</w:t>
      </w:r>
      <w:r w:rsidR="00951DD3">
        <w:rPr>
          <w:rStyle w:val="FootnoteReference"/>
          <w:rtl/>
        </w:rPr>
        <w:footnoteReference w:id="46"/>
      </w:r>
      <w:r w:rsidR="00851D2D">
        <w:rPr>
          <w:rFonts w:hint="cs"/>
          <w:rtl/>
        </w:rPr>
        <w:t xml:space="preserve"> </w:t>
      </w:r>
    </w:p>
    <w:p w:rsidR="00F300F2" w:rsidRDefault="00F300F2" w:rsidP="00B52561">
      <w:pPr>
        <w:pStyle w:val="BodyTextIndent3"/>
        <w:spacing w:after="240"/>
        <w:ind w:left="32"/>
        <w:rPr>
          <w:rFonts w:hint="cs"/>
          <w:rtl/>
        </w:rPr>
      </w:pPr>
      <w:r>
        <w:rPr>
          <w:rFonts w:hint="cs"/>
          <w:rtl/>
        </w:rPr>
        <w:t>שאלה שעשויה להתעורר בהקשר זה היא מהו שיעור ההחזקה המינימלי, בשני התאגידים, הנדרש בכדי להקים מיזוג בעקיפין בי</w:t>
      </w:r>
      <w:r w:rsidR="008906B2">
        <w:rPr>
          <w:rFonts w:hint="cs"/>
          <w:rtl/>
        </w:rPr>
        <w:t xml:space="preserve">ניהם? אין כל ספק כי כאשר אדם המחזיק </w:t>
      </w:r>
      <w:r w:rsidR="008906B2" w:rsidRPr="008906B2">
        <w:rPr>
          <w:rFonts w:hint="cs"/>
          <w:b/>
          <w:bCs/>
          <w:rtl/>
        </w:rPr>
        <w:t>בשליטה בחברה</w:t>
      </w:r>
      <w:r w:rsidR="008906B2">
        <w:rPr>
          <w:rFonts w:hint="cs"/>
          <w:rtl/>
        </w:rPr>
        <w:t xml:space="preserve"> רוכש </w:t>
      </w:r>
      <w:r w:rsidR="008906B2" w:rsidRPr="008906B2">
        <w:rPr>
          <w:rFonts w:hint="cs"/>
          <w:b/>
          <w:bCs/>
          <w:rtl/>
        </w:rPr>
        <w:t>למעלה מרבע</w:t>
      </w:r>
      <w:r w:rsidR="008906B2">
        <w:rPr>
          <w:rFonts w:hint="cs"/>
          <w:rtl/>
        </w:rPr>
        <w:t xml:space="preserve"> מסוג זכויות כלשהו בתאגיד (או עיקר נכסי חברה), מקים הדבר "מיזוג חברות" כמשמעו בחוק (מקל וחומר אם רוכש </w:t>
      </w:r>
      <w:r w:rsidR="000E70CD">
        <w:rPr>
          <w:rFonts w:hint="cs"/>
          <w:rtl/>
        </w:rPr>
        <w:t xml:space="preserve">אותו אדם </w:t>
      </w:r>
      <w:r w:rsidR="008906B2">
        <w:rPr>
          <w:rFonts w:hint="cs"/>
          <w:rtl/>
        </w:rPr>
        <w:t>שליטה בתאגיד</w:t>
      </w:r>
      <w:r w:rsidR="000E70CD">
        <w:rPr>
          <w:rFonts w:hint="cs"/>
          <w:rtl/>
        </w:rPr>
        <w:t>).</w:t>
      </w:r>
      <w:r w:rsidR="00B8307D">
        <w:rPr>
          <w:rStyle w:val="FootnoteReference"/>
          <w:rtl/>
        </w:rPr>
        <w:footnoteReference w:id="47"/>
      </w:r>
      <w:r w:rsidR="00B8307D">
        <w:rPr>
          <w:rFonts w:hint="cs"/>
          <w:rtl/>
        </w:rPr>
        <w:t xml:space="preserve"> </w:t>
      </w:r>
      <w:r w:rsidR="0035302F">
        <w:rPr>
          <w:rFonts w:hint="cs"/>
          <w:rtl/>
        </w:rPr>
        <w:t xml:space="preserve"> </w:t>
      </w:r>
      <w:r w:rsidR="000E70CD">
        <w:rPr>
          <w:rFonts w:hint="cs"/>
          <w:rtl/>
        </w:rPr>
        <w:t xml:space="preserve">ברם, אין לזהות בהכרח "השפעה </w:t>
      </w:r>
      <w:r w:rsidR="00560519">
        <w:rPr>
          <w:rFonts w:hint="cs"/>
          <w:rtl/>
        </w:rPr>
        <w:t xml:space="preserve">ממשית </w:t>
      </w:r>
      <w:r w:rsidR="000E70CD">
        <w:rPr>
          <w:rFonts w:hint="cs"/>
          <w:rtl/>
        </w:rPr>
        <w:t xml:space="preserve">בתאגיד" עם שליטה בו, שהרי זיקת השפעה </w:t>
      </w:r>
      <w:r w:rsidR="00560519">
        <w:rPr>
          <w:rFonts w:hint="cs"/>
          <w:rtl/>
        </w:rPr>
        <w:t xml:space="preserve">ממשית </w:t>
      </w:r>
      <w:r w:rsidR="000E70CD">
        <w:rPr>
          <w:rFonts w:hint="cs"/>
          <w:rtl/>
        </w:rPr>
        <w:t>יכול שתקום גם כאשר ההחזקה בתאגיד אינה מג</w:t>
      </w:r>
      <w:r w:rsidR="00B8307D">
        <w:rPr>
          <w:rFonts w:hint="cs"/>
          <w:rtl/>
        </w:rPr>
        <w:t xml:space="preserve">יעה </w:t>
      </w:r>
      <w:r w:rsidR="000E70CD">
        <w:rPr>
          <w:rFonts w:hint="cs"/>
          <w:rtl/>
        </w:rPr>
        <w:t>כדי "שליטה" (אף במובנה המהותי הרחב).</w:t>
      </w:r>
      <w:r w:rsidR="00951DD3">
        <w:rPr>
          <w:rStyle w:val="FootnoteReference"/>
          <w:rtl/>
        </w:rPr>
        <w:footnoteReference w:id="48"/>
      </w:r>
      <w:r w:rsidR="000E70CD">
        <w:rPr>
          <w:rFonts w:hint="cs"/>
          <w:rtl/>
        </w:rPr>
        <w:t xml:space="preserve"> </w:t>
      </w:r>
    </w:p>
    <w:p w:rsidR="007E35C6" w:rsidRPr="008F76DA" w:rsidRDefault="007E35C6" w:rsidP="008F76DA">
      <w:pPr>
        <w:pStyle w:val="Heading2"/>
        <w:rPr>
          <w:rFonts w:cs="David" w:hint="cs"/>
          <w:i w:val="0"/>
          <w:iCs w:val="0"/>
          <w:rtl/>
        </w:rPr>
      </w:pPr>
      <w:bookmarkStart w:id="15" w:name="_Toc151956811"/>
      <w:r w:rsidRPr="008F76DA">
        <w:rPr>
          <w:rFonts w:cs="David" w:hint="cs"/>
          <w:i w:val="0"/>
          <w:iCs w:val="0"/>
          <w:rtl/>
        </w:rPr>
        <w:t>ד.</w:t>
      </w:r>
      <w:r w:rsidR="009B4D97" w:rsidRPr="008F76DA">
        <w:rPr>
          <w:rFonts w:cs="David" w:hint="cs"/>
          <w:i w:val="0"/>
          <w:iCs w:val="0"/>
          <w:rtl/>
        </w:rPr>
        <w:t>3</w:t>
      </w:r>
      <w:r w:rsidRPr="008F76DA">
        <w:rPr>
          <w:rFonts w:cs="David" w:hint="cs"/>
          <w:i w:val="0"/>
          <w:iCs w:val="0"/>
          <w:rtl/>
        </w:rPr>
        <w:t>. עסקת מיזוג שצד לה היא חברה זרה</w:t>
      </w:r>
      <w:bookmarkEnd w:id="15"/>
      <w:r w:rsidRPr="008F76DA">
        <w:rPr>
          <w:rFonts w:cs="David" w:hint="cs"/>
          <w:i w:val="0"/>
          <w:iCs w:val="0"/>
          <w:rtl/>
        </w:rPr>
        <w:t xml:space="preserve">    </w:t>
      </w:r>
    </w:p>
    <w:p w:rsidR="007E35C6" w:rsidRDefault="007E35C6" w:rsidP="00B52561">
      <w:pPr>
        <w:pStyle w:val="BodyTextIndent3"/>
        <w:spacing w:after="240"/>
        <w:ind w:left="32"/>
        <w:rPr>
          <w:rFonts w:hint="cs"/>
          <w:rtl/>
        </w:rPr>
      </w:pPr>
      <w:r>
        <w:rPr>
          <w:rFonts w:hint="cs"/>
          <w:rtl/>
        </w:rPr>
        <w:t>כאשר מעורבת חברה זרה בעסקה היוצרת זיק</w:t>
      </w:r>
      <w:r w:rsidR="00627F1B">
        <w:rPr>
          <w:rFonts w:hint="cs"/>
          <w:rtl/>
        </w:rPr>
        <w:t>ת</w:t>
      </w:r>
      <w:r>
        <w:rPr>
          <w:rFonts w:hint="cs"/>
          <w:rtl/>
        </w:rPr>
        <w:t xml:space="preserve"> מיזוג בינה לבין תאגיד ישראלי, נשאלת השאלה האם בשל היות צד לעסקה חברה זרה, יוצאת העסקה מכלל הגדרת מיזוג חברות.</w:t>
      </w:r>
      <w:r>
        <w:rPr>
          <w:rStyle w:val="FootnoteReference"/>
          <w:rtl/>
        </w:rPr>
        <w:footnoteReference w:id="49"/>
      </w:r>
      <w:r>
        <w:rPr>
          <w:rFonts w:hint="cs"/>
          <w:rtl/>
        </w:rPr>
        <w:t xml:space="preserve"> בעניין זה נכון הוא להבחין בין מספר מצבים שונים: </w:t>
      </w:r>
    </w:p>
    <w:p w:rsidR="007E35C6" w:rsidRDefault="007E35C6" w:rsidP="00B52561">
      <w:pPr>
        <w:pStyle w:val="BodyTextIndent3"/>
        <w:numPr>
          <w:ilvl w:val="0"/>
          <w:numId w:val="5"/>
        </w:numPr>
        <w:spacing w:after="240"/>
        <w:ind w:left="32" w:right="0" w:firstLine="0"/>
        <w:rPr>
          <w:rFonts w:hint="cs"/>
          <w:rtl/>
        </w:rPr>
      </w:pPr>
      <w:r>
        <w:rPr>
          <w:rFonts w:hint="cs"/>
          <w:b/>
          <w:bCs/>
          <w:rtl/>
        </w:rPr>
        <w:t xml:space="preserve">  החברה הזרה היא חברת חוץ הרשומה בישראל</w:t>
      </w:r>
      <w:r>
        <w:rPr>
          <w:rFonts w:hint="cs"/>
          <w:rtl/>
        </w:rPr>
        <w:t xml:space="preserve"> </w:t>
      </w:r>
      <w:r>
        <w:rPr>
          <w:rtl/>
        </w:rPr>
        <w:t>–</w:t>
      </w:r>
      <w:r>
        <w:rPr>
          <w:rFonts w:hint="cs"/>
          <w:rtl/>
        </w:rPr>
        <w:t xml:space="preserve"> במקרה כזה לא מתעורר</w:t>
      </w:r>
      <w:r w:rsidR="00525156">
        <w:rPr>
          <w:rFonts w:hint="cs"/>
          <w:rtl/>
        </w:rPr>
        <w:t xml:space="preserve">ת כל שאלה </w:t>
      </w:r>
      <w:r>
        <w:rPr>
          <w:rFonts w:hint="cs"/>
          <w:rtl/>
        </w:rPr>
        <w:t xml:space="preserve">הואיל והגדרת מיזוג חברות חלה במפורש על חברת חוץ רשומה.  </w:t>
      </w:r>
    </w:p>
    <w:p w:rsidR="007E35C6" w:rsidRDefault="007E35C6" w:rsidP="00B52561">
      <w:pPr>
        <w:pStyle w:val="BodyTextIndent3"/>
        <w:numPr>
          <w:ilvl w:val="0"/>
          <w:numId w:val="5"/>
        </w:numPr>
        <w:spacing w:after="240"/>
        <w:ind w:left="32" w:right="0" w:firstLine="0"/>
        <w:rPr>
          <w:rFonts w:hint="cs"/>
        </w:rPr>
      </w:pPr>
      <w:r>
        <w:rPr>
          <w:rFonts w:hint="cs"/>
          <w:b/>
          <w:bCs/>
          <w:rtl/>
        </w:rPr>
        <w:t xml:space="preserve">  החברה הזרה אינה רשומה בישראל אולם </w:t>
      </w:r>
      <w:r w:rsidR="00593B1D">
        <w:rPr>
          <w:rFonts w:hint="cs"/>
          <w:b/>
          <w:bCs/>
          <w:rtl/>
        </w:rPr>
        <w:t xml:space="preserve">היא </w:t>
      </w:r>
      <w:r w:rsidR="00387FB0">
        <w:rPr>
          <w:rFonts w:hint="cs"/>
          <w:b/>
          <w:bCs/>
          <w:rtl/>
        </w:rPr>
        <w:t xml:space="preserve">מצויה בזיקת מיזוג עם </w:t>
      </w:r>
      <w:r>
        <w:rPr>
          <w:rFonts w:hint="cs"/>
          <w:b/>
          <w:bCs/>
          <w:rtl/>
        </w:rPr>
        <w:t>חברה ישראלית</w:t>
      </w:r>
      <w:r>
        <w:rPr>
          <w:rFonts w:hint="cs"/>
          <w:rtl/>
        </w:rPr>
        <w:t xml:space="preserve"> </w:t>
      </w:r>
      <w:r>
        <w:rPr>
          <w:rtl/>
        </w:rPr>
        <w:t>–</w:t>
      </w:r>
      <w:r>
        <w:rPr>
          <w:rFonts w:hint="cs"/>
          <w:rtl/>
        </w:rPr>
        <w:t xml:space="preserve"> במקרה כזה יוצרת עסקת המיזוג מיזוג חברות, בעקיפין, בין שתי החברות הישראליות המוחזקות על ידי אותה חברה זרה. הכלל הוא אפוא, כי כאשר חברה זרה מחזיקה </w:t>
      </w:r>
      <w:r w:rsidRPr="00733E15">
        <w:rPr>
          <w:rFonts w:hint="cs"/>
          <w:b/>
          <w:bCs/>
          <w:rtl/>
        </w:rPr>
        <w:t>למעלה מרבע</w:t>
      </w:r>
      <w:r>
        <w:rPr>
          <w:rFonts w:hint="cs"/>
          <w:rtl/>
        </w:rPr>
        <w:t xml:space="preserve"> בחברה ישראלית (או שמתקיימת זיקת מיזוג אחרת בינה לבין החברה הישראלית),</w:t>
      </w:r>
      <w:r>
        <w:rPr>
          <w:rStyle w:val="FootnoteReference"/>
          <w:rtl/>
        </w:rPr>
        <w:footnoteReference w:id="50"/>
      </w:r>
      <w:r>
        <w:rPr>
          <w:rFonts w:hint="cs"/>
          <w:rtl/>
        </w:rPr>
        <w:t xml:space="preserve"> יש לראות את החברה הישראלית צד נכון לכל עסקת מיזוג בה מעורבת החברה הזרה.</w:t>
      </w:r>
      <w:r w:rsidR="00837A0C">
        <w:rPr>
          <w:rStyle w:val="FootnoteReference"/>
          <w:rtl/>
        </w:rPr>
        <w:footnoteReference w:id="51"/>
      </w:r>
      <w:r>
        <w:rPr>
          <w:rFonts w:hint="cs"/>
          <w:rtl/>
        </w:rPr>
        <w:t xml:space="preserve"> דברים אלה נכונים גם אם לגורם הזר נתונה שליטה נגטיבית על התאגיד הישראלי, למשל על דרך קיומן של זכויות וטו נרחבות</w:t>
      </w:r>
      <w:r w:rsidR="00593B1D">
        <w:rPr>
          <w:rFonts w:hint="cs"/>
          <w:rtl/>
        </w:rPr>
        <w:t xml:space="preserve"> או יכולת אחרת לחסום החלטות, בשל מבנה הדירקטוריון וכדומה</w:t>
      </w:r>
      <w:r>
        <w:rPr>
          <w:rFonts w:hint="cs"/>
          <w:rtl/>
        </w:rPr>
        <w:t xml:space="preserve">. </w:t>
      </w:r>
    </w:p>
    <w:p w:rsidR="007E35C6" w:rsidRPr="00C867E2" w:rsidRDefault="007E35C6" w:rsidP="00B52561">
      <w:pPr>
        <w:pStyle w:val="BodyTextIndent3"/>
        <w:numPr>
          <w:ilvl w:val="0"/>
          <w:numId w:val="5"/>
        </w:numPr>
        <w:spacing w:after="240"/>
        <w:ind w:left="32" w:right="0" w:firstLine="0"/>
        <w:rPr>
          <w:rFonts w:hint="cs"/>
        </w:rPr>
      </w:pPr>
      <w:r>
        <w:rPr>
          <w:rFonts w:hint="cs"/>
          <w:b/>
          <w:bCs/>
          <w:rtl/>
        </w:rPr>
        <w:t xml:space="preserve">  </w:t>
      </w:r>
      <w:r w:rsidRPr="00C867E2">
        <w:rPr>
          <w:rFonts w:hint="cs"/>
          <w:b/>
          <w:bCs/>
          <w:rtl/>
        </w:rPr>
        <w:t xml:space="preserve">החברה הזרה אינה רשומה בישראל, אינה מצויה בזיקת מיזוג עם חברה ישראלית אולם היא מחזיקה מקום עסקים בישראל </w:t>
      </w:r>
      <w:r w:rsidRPr="00C867E2">
        <w:rPr>
          <w:b/>
          <w:bCs/>
          <w:rtl/>
        </w:rPr>
        <w:t>–</w:t>
      </w:r>
      <w:r w:rsidRPr="00C867E2">
        <w:rPr>
          <w:rFonts w:hint="cs"/>
          <w:b/>
          <w:bCs/>
          <w:rtl/>
        </w:rPr>
        <w:t xml:space="preserve"> </w:t>
      </w:r>
      <w:r w:rsidRPr="00C867E2">
        <w:rPr>
          <w:rFonts w:hint="cs"/>
          <w:rtl/>
        </w:rPr>
        <w:t xml:space="preserve">במקרה כזה רואים את החברה הזרה כחברת חוץ רשומה. הטעם לכך מובן: חברת חוץ המקיימת מקום עסקים בישראל חייבת ברישום על פי חוק החברות. שלילת תחולתו של חוק ההגבלים העסקיים על חברות שהיו צריכות להירשם לפי חוק החברות ולא עשו כן, מעניקה תמריץ שלילי לרישום חברות ומעודדת הפרה של הוראות חוק החברות. פרשנות תכליתית מחייבת למנוע תוצאה בה "ייצא חוטא נשכר". בנסיבות אלה, יש לראות את דרישת הרישום כאילו קוימה, או במילים אחרת </w:t>
      </w:r>
      <w:r w:rsidRPr="00C867E2">
        <w:rPr>
          <w:rtl/>
        </w:rPr>
        <w:t>–</w:t>
      </w:r>
      <w:r w:rsidRPr="00C867E2">
        <w:rPr>
          <w:rFonts w:hint="cs"/>
          <w:rtl/>
        </w:rPr>
        <w:t xml:space="preserve"> יש לנהוג לפי כללי ה- </w:t>
      </w:r>
      <w:r w:rsidRPr="00C867E2">
        <w:rPr>
          <w:rFonts w:hint="cs"/>
        </w:rPr>
        <w:t>E</w:t>
      </w:r>
      <w:r w:rsidRPr="00C867E2">
        <w:t>quity</w:t>
      </w:r>
      <w:r w:rsidRPr="00C867E2">
        <w:rPr>
          <w:rFonts w:hint="cs"/>
          <w:rtl/>
        </w:rPr>
        <w:t xml:space="preserve"> הרואים, לצורך תחולתן של חובות, את מה </w:t>
      </w:r>
      <w:r w:rsidR="00593B1D" w:rsidRPr="00C867E2">
        <w:rPr>
          <w:rFonts w:hint="cs"/>
          <w:rtl/>
        </w:rPr>
        <w:t>ש</w:t>
      </w:r>
      <w:r w:rsidRPr="00C867E2">
        <w:rPr>
          <w:rFonts w:hint="cs"/>
          <w:rtl/>
        </w:rPr>
        <w:t xml:space="preserve">צריך היה להיעשות ולא נעשה (במקרה דנן הרישום כחברת חוץ) </w:t>
      </w:r>
      <w:r w:rsidRPr="00C867E2">
        <w:rPr>
          <w:rtl/>
        </w:rPr>
        <w:t>–</w:t>
      </w:r>
      <w:r w:rsidRPr="00C867E2">
        <w:rPr>
          <w:rFonts w:hint="cs"/>
          <w:rtl/>
        </w:rPr>
        <w:t xml:space="preserve">  כאילו נעשה.</w:t>
      </w:r>
      <w:r w:rsidR="00E05932" w:rsidRPr="00C867E2">
        <w:rPr>
          <w:rFonts w:hint="cs"/>
          <w:rtl/>
        </w:rPr>
        <w:t xml:space="preserve"> חברה זרה יכולה להיחשב כמי שמקיימת מקום עסקים בישראל מקום בו נתונה לה השפעה ממשית על פעולתו של נציג מקומי</w:t>
      </w:r>
      <w:r w:rsidR="00230D65" w:rsidRPr="00C867E2">
        <w:rPr>
          <w:rFonts w:hint="cs"/>
          <w:rtl/>
        </w:rPr>
        <w:t xml:space="preserve">. בהקשר זה בודקת הרשות אם לחברה הזרה </w:t>
      </w:r>
      <w:r w:rsidRPr="00C867E2">
        <w:rPr>
          <w:rFonts w:hint="cs"/>
          <w:rtl/>
        </w:rPr>
        <w:t xml:space="preserve">נתונה יכולת, לפי הסדר או בפועל, לקבוע עבור </w:t>
      </w:r>
      <w:r w:rsidR="00525156" w:rsidRPr="00C867E2">
        <w:rPr>
          <w:rFonts w:hint="cs"/>
          <w:rtl/>
        </w:rPr>
        <w:t>ה</w:t>
      </w:r>
      <w:r w:rsidRPr="00C867E2">
        <w:rPr>
          <w:rFonts w:hint="cs"/>
          <w:rtl/>
        </w:rPr>
        <w:t>נציג בישראל (יהא כינויו סוכן, מפיץ, נציג או כל כינוי אחר) את רמת המחירים, רמות המלאי, אופי התצוגה והיבטים אחרים בניהול העסק.</w:t>
      </w:r>
      <w:r w:rsidR="00627F1B" w:rsidRPr="00C867E2">
        <w:rPr>
          <w:rStyle w:val="FootnoteReference"/>
          <w:rtl/>
        </w:rPr>
        <w:footnoteReference w:id="52"/>
      </w:r>
      <w:r w:rsidRPr="00C867E2">
        <w:rPr>
          <w:rFonts w:hint="cs"/>
          <w:rtl/>
        </w:rPr>
        <w:t xml:space="preserve">  ככל שלחברה הזרה כוחות וזכויות מסוג זה </w:t>
      </w:r>
      <w:r w:rsidRPr="00C867E2">
        <w:rPr>
          <w:rtl/>
        </w:rPr>
        <w:t>–</w:t>
      </w:r>
      <w:r w:rsidRPr="00C867E2">
        <w:rPr>
          <w:rFonts w:hint="cs"/>
          <w:rtl/>
        </w:rPr>
        <w:t xml:space="preserve"> כן תגבר הנטייה לראות בה כנוכחת בישראל וכמנהלת עסקים בה, באמצעות זרוע ארוכה, ויחולו על מיזוג שלה </w:t>
      </w:r>
      <w:r w:rsidRPr="00C867E2">
        <w:rPr>
          <w:rtl/>
        </w:rPr>
        <w:t>–</w:t>
      </w:r>
      <w:r w:rsidRPr="00C867E2">
        <w:rPr>
          <w:rFonts w:hint="cs"/>
          <w:rtl/>
        </w:rPr>
        <w:t xml:space="preserve"> הוראות החוק. </w:t>
      </w:r>
    </w:p>
    <w:p w:rsidR="007E35C6" w:rsidRDefault="007E35C6" w:rsidP="00B52561">
      <w:pPr>
        <w:pStyle w:val="BodyTextIndent3"/>
        <w:numPr>
          <w:ilvl w:val="0"/>
          <w:numId w:val="5"/>
        </w:numPr>
        <w:spacing w:after="240"/>
        <w:ind w:left="32" w:right="0" w:firstLine="0"/>
        <w:rPr>
          <w:rFonts w:hint="cs"/>
        </w:rPr>
      </w:pPr>
      <w:r>
        <w:rPr>
          <w:rFonts w:hint="cs"/>
          <w:b/>
          <w:bCs/>
          <w:rtl/>
        </w:rPr>
        <w:t xml:space="preserve">  חברה זרה שלא ניהלה כל עסק בישראל, אין מתקיים בה דבר מן האמור לעיל והיא מבצעת רכישה ראשונה של </w:t>
      </w:r>
      <w:r w:rsidR="00525156">
        <w:rPr>
          <w:rFonts w:hint="cs"/>
          <w:b/>
          <w:bCs/>
          <w:rtl/>
        </w:rPr>
        <w:t>זכויות ב</w:t>
      </w:r>
      <w:r>
        <w:rPr>
          <w:rFonts w:hint="cs"/>
          <w:b/>
          <w:bCs/>
          <w:rtl/>
        </w:rPr>
        <w:t xml:space="preserve">חברה ישראלית </w:t>
      </w:r>
      <w:r>
        <w:rPr>
          <w:b/>
          <w:bCs/>
          <w:rtl/>
        </w:rPr>
        <w:t>–</w:t>
      </w:r>
      <w:r>
        <w:rPr>
          <w:rFonts w:hint="cs"/>
          <w:rtl/>
        </w:rPr>
        <w:t xml:space="preserve"> אינה חייבת במתן הודעת מיזוג</w:t>
      </w:r>
      <w:r w:rsidR="00837A0C">
        <w:rPr>
          <w:rFonts w:hint="cs"/>
          <w:rtl/>
        </w:rPr>
        <w:t>.</w:t>
      </w:r>
    </w:p>
    <w:p w:rsidR="007E35C6" w:rsidRDefault="007E35C6" w:rsidP="00B52561">
      <w:pPr>
        <w:pStyle w:val="Heading7"/>
        <w:spacing w:after="240"/>
        <w:ind w:left="32"/>
        <w:rPr>
          <w:rFonts w:hint="cs"/>
          <w:rtl/>
        </w:rPr>
      </w:pPr>
    </w:p>
    <w:p w:rsidR="007E35C6" w:rsidRDefault="007E35C6" w:rsidP="00B52561">
      <w:pPr>
        <w:pStyle w:val="BodyTextIndent3"/>
        <w:spacing w:after="240"/>
        <w:ind w:left="32"/>
        <w:rPr>
          <w:rFonts w:hint="cs"/>
          <w:rtl/>
        </w:rPr>
      </w:pPr>
    </w:p>
    <w:p w:rsidR="007E35C6" w:rsidRPr="00C65204" w:rsidRDefault="00C65204" w:rsidP="00C65204">
      <w:pPr>
        <w:pStyle w:val="Heading1"/>
        <w:rPr>
          <w:rFonts w:cs="David" w:hint="cs"/>
          <w:rtl/>
        </w:rPr>
      </w:pPr>
      <w:bookmarkStart w:id="16" w:name="_Toc151956812"/>
      <w:r>
        <w:rPr>
          <w:rFonts w:cs="David" w:hint="cs"/>
          <w:rtl/>
          <w:lang w:eastAsia="en-US"/>
        </w:rPr>
        <w:t xml:space="preserve">ה. </w:t>
      </w:r>
      <w:r w:rsidR="007E35C6" w:rsidRPr="00C65204">
        <w:rPr>
          <w:rFonts w:cs="David" w:hint="cs"/>
          <w:rtl/>
          <w:lang w:eastAsia="en-US"/>
        </w:rPr>
        <w:t xml:space="preserve">האינטרס הציבורי בבחינת המיזוג </w:t>
      </w:r>
      <w:r w:rsidR="007E35C6" w:rsidRPr="00C65204">
        <w:rPr>
          <w:rFonts w:cs="David"/>
          <w:rtl/>
          <w:lang w:eastAsia="en-US"/>
        </w:rPr>
        <w:t>–</w:t>
      </w:r>
      <w:r w:rsidR="007E35C6" w:rsidRPr="00C65204">
        <w:rPr>
          <w:rFonts w:cs="David" w:hint="cs"/>
          <w:rtl/>
          <w:lang w:eastAsia="en-US"/>
        </w:rPr>
        <w:t xml:space="preserve"> מתי קמה חובה להגיש הודעת מיזוג</w:t>
      </w:r>
      <w:bookmarkEnd w:id="16"/>
      <w:r w:rsidR="007E35C6" w:rsidRPr="00C65204">
        <w:rPr>
          <w:rFonts w:cs="David" w:hint="cs"/>
          <w:rtl/>
        </w:rPr>
        <w:t xml:space="preserve"> </w:t>
      </w:r>
    </w:p>
    <w:p w:rsidR="007E35C6" w:rsidRPr="00C65204" w:rsidRDefault="007E35C6" w:rsidP="00C65204">
      <w:pPr>
        <w:pStyle w:val="Heading2"/>
        <w:rPr>
          <w:rFonts w:cs="David" w:hint="cs"/>
          <w:i w:val="0"/>
          <w:iCs w:val="0"/>
          <w:rtl/>
        </w:rPr>
      </w:pPr>
      <w:bookmarkStart w:id="17" w:name="_Toc151956813"/>
      <w:r w:rsidRPr="00C65204">
        <w:rPr>
          <w:rFonts w:cs="David" w:hint="cs"/>
          <w:i w:val="0"/>
          <w:iCs w:val="0"/>
          <w:rtl/>
        </w:rPr>
        <w:t>ה.1</w:t>
      </w:r>
      <w:r w:rsidR="00837A0C" w:rsidRPr="00C65204">
        <w:rPr>
          <w:rFonts w:cs="David" w:hint="cs"/>
          <w:i w:val="0"/>
          <w:iCs w:val="0"/>
          <w:rtl/>
        </w:rPr>
        <w:t>.</w:t>
      </w:r>
      <w:r w:rsidRPr="00C65204">
        <w:rPr>
          <w:rFonts w:cs="David" w:hint="cs"/>
          <w:i w:val="0"/>
          <w:iCs w:val="0"/>
          <w:rtl/>
        </w:rPr>
        <w:t xml:space="preserve"> כללי</w:t>
      </w:r>
      <w:bookmarkEnd w:id="17"/>
      <w:r w:rsidRPr="00C65204">
        <w:rPr>
          <w:rFonts w:cs="David" w:hint="cs"/>
          <w:i w:val="0"/>
          <w:iCs w:val="0"/>
          <w:rtl/>
        </w:rPr>
        <w:t xml:space="preserve">  </w:t>
      </w:r>
    </w:p>
    <w:p w:rsidR="007E35C6" w:rsidRDefault="007E35C6" w:rsidP="00B52561">
      <w:pPr>
        <w:spacing w:after="240"/>
        <w:ind w:left="32"/>
        <w:rPr>
          <w:rFonts w:hint="cs"/>
          <w:rtl/>
        </w:rPr>
      </w:pPr>
      <w:r>
        <w:rPr>
          <w:rFonts w:hint="cs"/>
          <w:rtl/>
        </w:rPr>
        <w:t xml:space="preserve">לא כל עסקת מיזוג טעונה הגשת הודעה לממונה והמתנה </w:t>
      </w:r>
      <w:r w:rsidR="001C06B7">
        <w:rPr>
          <w:rFonts w:hint="cs"/>
          <w:rtl/>
        </w:rPr>
        <w:t>לאישורה</w:t>
      </w:r>
      <w:r>
        <w:rPr>
          <w:rFonts w:hint="cs"/>
          <w:rtl/>
        </w:rPr>
        <w:t xml:space="preserve">. החובה להגיש הודעת מיזוג לאישור הממונה קמה רק בהתקיים שני תנאים מצטברים:      </w:t>
      </w:r>
    </w:p>
    <w:p w:rsidR="007E35C6" w:rsidRDefault="007E35C6" w:rsidP="00B52561">
      <w:pPr>
        <w:numPr>
          <w:ilvl w:val="0"/>
          <w:numId w:val="7"/>
        </w:numPr>
        <w:spacing w:after="240"/>
        <w:ind w:left="32" w:right="0" w:firstLine="0"/>
        <w:rPr>
          <w:rFonts w:hint="cs"/>
          <w:rtl/>
        </w:rPr>
      </w:pPr>
      <w:r>
        <w:rPr>
          <w:rFonts w:hint="cs"/>
          <w:rtl/>
        </w:rPr>
        <w:t xml:space="preserve">המהלך העסקי מקים מיזוג חברות כמשמעו בחוק. </w:t>
      </w:r>
    </w:p>
    <w:p w:rsidR="005A6560" w:rsidRDefault="007E35C6" w:rsidP="00B52561">
      <w:pPr>
        <w:numPr>
          <w:ilvl w:val="0"/>
          <w:numId w:val="7"/>
        </w:numPr>
        <w:spacing w:after="240"/>
        <w:ind w:left="32" w:right="0" w:firstLine="0"/>
        <w:rPr>
          <w:rFonts w:hint="cs"/>
        </w:rPr>
      </w:pPr>
      <w:r>
        <w:rPr>
          <w:rFonts w:hint="cs"/>
          <w:rtl/>
        </w:rPr>
        <w:t>מתקיימת במיזוג אחת או יותר מהחלופות הבאות הקבועות בסעיף 17(א) לחוק:</w:t>
      </w:r>
    </w:p>
    <w:p w:rsidR="005A6560" w:rsidRDefault="007E35C6" w:rsidP="00B52561">
      <w:pPr>
        <w:numPr>
          <w:ilvl w:val="1"/>
          <w:numId w:val="7"/>
        </w:numPr>
        <w:spacing w:after="240"/>
        <w:ind w:left="1832"/>
        <w:rPr>
          <w:rFonts w:hint="cs"/>
        </w:rPr>
      </w:pPr>
      <w:r>
        <w:rPr>
          <w:rFonts w:hint="cs"/>
          <w:rtl/>
        </w:rPr>
        <w:t>כתוצאה מהמיזוג חלקן של החברות המתמזגות בכלל הייצור, המכירה, השיווק או הרכישה של נכס מסוים ונכס דומה או מתן שירות מסוים ושירות דומה, יעלה על מחצית, או על שיעור נמוך ממנה אם קבע כך השר, לעניין מונופולין, לפי סעיף 26 (ג) לחוק.</w:t>
      </w:r>
    </w:p>
    <w:p w:rsidR="003E06C5" w:rsidRDefault="005A6560" w:rsidP="00B52561">
      <w:pPr>
        <w:numPr>
          <w:ilvl w:val="1"/>
          <w:numId w:val="7"/>
        </w:numPr>
        <w:spacing w:after="240"/>
        <w:ind w:left="1832"/>
        <w:rPr>
          <w:rFonts w:hint="cs"/>
        </w:rPr>
      </w:pPr>
      <w:r>
        <w:rPr>
          <w:rFonts w:hint="cs"/>
          <w:rtl/>
        </w:rPr>
        <w:t xml:space="preserve"> </w:t>
      </w:r>
      <w:r w:rsidR="007E35C6">
        <w:rPr>
          <w:rFonts w:hint="cs"/>
          <w:rtl/>
        </w:rPr>
        <w:t>מחזור המכירות המצרפי המאוחד של החברות המתמזגות, בשנת המאזן שקדמה למיזוג, אינו נמוך מסכום של 150 מליון שקלים חדשים ומחזור המכירות המאוחד של לפחות שתיים מן החברות המתמזגות אינו נופל מעשרה מליון שקלים חדשים לכל אחת מהן.</w:t>
      </w:r>
      <w:r w:rsidR="007E35C6">
        <w:rPr>
          <w:rStyle w:val="FootnoteReference"/>
          <w:rtl/>
        </w:rPr>
        <w:footnoteReference w:id="53"/>
      </w:r>
      <w:r w:rsidR="007E35C6">
        <w:rPr>
          <w:rFonts w:hint="cs"/>
          <w:rtl/>
        </w:rPr>
        <w:t xml:space="preserve">  </w:t>
      </w:r>
    </w:p>
    <w:p w:rsidR="007E35C6" w:rsidRDefault="007E35C6" w:rsidP="00B52561">
      <w:pPr>
        <w:numPr>
          <w:ilvl w:val="1"/>
          <w:numId w:val="7"/>
        </w:numPr>
        <w:spacing w:after="240"/>
        <w:ind w:left="1832"/>
        <w:rPr>
          <w:rFonts w:hint="cs"/>
          <w:rtl/>
        </w:rPr>
      </w:pPr>
      <w:r>
        <w:rPr>
          <w:rFonts w:hint="cs"/>
          <w:rtl/>
        </w:rPr>
        <w:t xml:space="preserve">אחת החברות המתמזגות היא בעלת מונופולין כמשמעותו בסעיף 26 לחוק. </w:t>
      </w:r>
    </w:p>
    <w:p w:rsidR="007E35C6" w:rsidRDefault="004D66A9" w:rsidP="00CB5B03">
      <w:pPr>
        <w:spacing w:after="240"/>
        <w:ind w:left="32"/>
        <w:rPr>
          <w:rFonts w:hint="cs"/>
          <w:rtl/>
        </w:rPr>
      </w:pPr>
      <w:r>
        <w:rPr>
          <w:noProof/>
          <w:sz w:val="20"/>
          <w:rtl/>
          <w:lang w:eastAsia="en-US"/>
        </w:rPr>
        <mc:AlternateContent>
          <mc:Choice Requires="wps">
            <w:drawing>
              <wp:anchor distT="0" distB="0" distL="114300" distR="114300" simplePos="0" relativeHeight="251655680" behindDoc="0" locked="0" layoutInCell="1" allowOverlap="1">
                <wp:simplePos x="0" y="0"/>
                <wp:positionH relativeFrom="column">
                  <wp:posOffset>0</wp:posOffset>
                </wp:positionH>
                <wp:positionV relativeFrom="paragraph">
                  <wp:posOffset>1049020</wp:posOffset>
                </wp:positionV>
                <wp:extent cx="5257800" cy="800100"/>
                <wp:effectExtent l="7620" t="12065" r="11430" b="6985"/>
                <wp:wrapNone/>
                <wp:docPr id="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800100"/>
                        </a:xfrm>
                        <a:prstGeom prst="rect">
                          <a:avLst/>
                        </a:prstGeom>
                        <a:solidFill>
                          <a:srgbClr val="FFFFFF"/>
                        </a:solidFill>
                        <a:ln w="9525">
                          <a:solidFill>
                            <a:srgbClr val="000000"/>
                          </a:solidFill>
                          <a:miter lim="800000"/>
                          <a:headEnd/>
                          <a:tailEnd/>
                        </a:ln>
                      </wps:spPr>
                      <wps:txbx>
                        <w:txbxContent>
                          <w:p w:rsidR="00293CD3" w:rsidRDefault="00293CD3" w:rsidP="00293A57">
                            <w:pPr>
                              <w:pStyle w:val="BodyText3"/>
                              <w:rPr>
                                <w:rFonts w:hint="cs"/>
                                <w:color w:val="3366FF"/>
                                <w:rtl/>
                              </w:rPr>
                            </w:pPr>
                            <w:r>
                              <w:rPr>
                                <w:rFonts w:hint="cs"/>
                                <w:color w:val="3366FF"/>
                                <w:rtl/>
                              </w:rPr>
                              <w:t xml:space="preserve">מיזוג שאינו מעורר חשש תחרותי יזכה לאישור הממונה, אולם ככל שמתקיימת בו איזו מהחלופות הקבועות בסעיף 17 (א) לחוק, חייבים הצדדים לדווח עליו לממונה ולהמתין לאישורה.   </w:t>
                            </w:r>
                          </w:p>
                          <w:p w:rsidR="00293CD3" w:rsidRDefault="00293CD3" w:rsidP="007E35C6">
                            <w:pPr>
                              <w:rPr>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29" type="#_x0000_t202" style="position:absolute;left:0;text-align:left;margin-left:0;margin-top:82.6pt;width:414pt;height:63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FXSKAIAAFgEAAAOAAAAZHJzL2Uyb0RvYy54bWysVNtu2zAMfR+wfxD0vtgOkqU14hRdugwD&#10;ugvQ7gNkWbaFSaImKbGzrx8lp2l2exnmB4EUqUPykPT6ZtSKHITzEkxFi1lOiTAcGmm6in553L26&#10;osQHZhqmwIiKHoWnN5uXL9aDLcUcelCNcARBjC8HW9E+BFtmmee90MzPwAqDxhacZgFV12WNYwOi&#10;a5XN8/x1NoBrrAMuvMfbu8lINwm/bQUPn9rWi0BURTG3kE6Xzjqe2WbNys4x20t+SoP9QxaaSYNB&#10;z1B3LDCyd/I3KC25Aw9tmHHQGbSt5CLVgNUU+S/VPPTMilQLkuPtmSb//2D5x8NnR2RT0RUlhmls&#10;0aMYA3kDIymWkZ7B+hK9Hiz6hRHvsc2pVG/vgX/1xMC2Z6YTt87B0AvWYHpFfJldPJ1wfASphw/Q&#10;YBy2D5CAxtbpyB2yQRAd23Q8tybmwvFyOV+urnI0cbShUKAcQ7Dy6bV1PrwToEkUKuqw9QmdHe59&#10;mFyfXGIwD0o2O6lUUlxXb5UjB4ZjskvfCf0nN2XIUNFrzGUi4K8Qefr+BKFlwHlXUqcq0C06sTLS&#10;9tY0SQ5MqknG6pQ58Ripm0gMYz2mji3i28hxDc0RiXUwjTeuIwo9uO+UDDjaFfXf9swJStR7g825&#10;LhaLuAtJWSxXc1TcpaW+tDDDEaqigZJJ3IZpf/bWya7HSNM4GLjFhrYycf2c1Sl9HN/UrdOqxf24&#10;1JPX8w9h8wMAAP//AwBQSwMEFAAGAAgAAAAhAC6F9uPeAAAACAEAAA8AAABkcnMvZG93bnJldi54&#10;bWxMj8FOwzAQRO9I/IO1SFwQdWogpCFOhZBAcIOC4OrG2yTCXofYTcPfs5zguDOj2TfVevZOTDjG&#10;PpCG5SIDgdQE21Or4e31/rwAEZMha1wg1PCNEdb18VFlShsO9ILTJrWCSyiWRkOX0lBKGZsOvYmL&#10;MCCxtwujN4nPsZV2NAcu906qLMulNz3xh84MeNdh87nZew3F5eP0EZ8unt+bfOdW6ex6evgatT49&#10;mW9vQCSc018YfvEZHWpm2oY92SicBh6SWM2vFAi2C1WwstWgVksFsq7k/wH1DwAAAP//AwBQSwEC&#10;LQAUAAYACAAAACEAtoM4kv4AAADhAQAAEwAAAAAAAAAAAAAAAAAAAAAAW0NvbnRlbnRfVHlwZXNd&#10;LnhtbFBLAQItABQABgAIAAAAIQA4/SH/1gAAAJQBAAALAAAAAAAAAAAAAAAAAC8BAABfcmVscy8u&#10;cmVsc1BLAQItABQABgAIAAAAIQAdhFXSKAIAAFgEAAAOAAAAAAAAAAAAAAAAAC4CAABkcnMvZTJv&#10;RG9jLnhtbFBLAQItABQABgAIAAAAIQAuhfbj3gAAAAgBAAAPAAAAAAAAAAAAAAAAAIIEAABkcnMv&#10;ZG93bnJldi54bWxQSwUGAAAAAAQABADzAAAAjQUAAAAA&#10;">
                <v:textbox>
                  <w:txbxContent>
                    <w:p w:rsidR="00293CD3" w:rsidRDefault="00293CD3" w:rsidP="00293A57">
                      <w:pPr>
                        <w:pStyle w:val="BodyText3"/>
                        <w:rPr>
                          <w:rFonts w:hint="cs"/>
                          <w:color w:val="3366FF"/>
                          <w:rtl/>
                        </w:rPr>
                      </w:pPr>
                      <w:r>
                        <w:rPr>
                          <w:rFonts w:hint="cs"/>
                          <w:color w:val="3366FF"/>
                          <w:rtl/>
                        </w:rPr>
                        <w:t xml:space="preserve">מיזוג שאינו מעורר חשש תחרותי יזכה לאישור הממונה, אולם ככל שמתקיימת בו איזו מהחלופות הקבועות בסעיף 17 (א) לחוק, חייבים הצדדים לדווח עליו לממונה ולהמתין לאישורה.   </w:t>
                      </w:r>
                    </w:p>
                    <w:p w:rsidR="00293CD3" w:rsidRDefault="00293CD3" w:rsidP="007E35C6">
                      <w:pPr>
                        <w:rPr>
                          <w:rtl/>
                        </w:rPr>
                      </w:pPr>
                    </w:p>
                  </w:txbxContent>
                </v:textbox>
              </v:shape>
            </w:pict>
          </mc:Fallback>
        </mc:AlternateContent>
      </w:r>
      <w:r w:rsidR="007E35C6">
        <w:rPr>
          <w:rFonts w:hint="cs"/>
          <w:rtl/>
        </w:rPr>
        <w:t xml:space="preserve">מטרתו של סעיף 17 (א) לחוק היא לזהות את הגופים הכלכליים המעורבים בעסקת המיזוג, כדי לנפות מיזוגים שאין אינטרס ציבורי של ממש בהבאתם לבחינת הממונה. סעיף 17 מבצע ניפוי גס וראשוני של עסקאות מיזוג. </w:t>
      </w:r>
      <w:r w:rsidR="007E35C6">
        <w:rPr>
          <w:rFonts w:hint="cs"/>
          <w:b/>
          <w:bCs/>
          <w:rtl/>
        </w:rPr>
        <w:t>במקרים רבים יועלו בחכתו מיזוגים שאינם צפויים להקים חשש תחרותי אמיתי ואולם לכך אין נפקות על עצם קיום חובת הדיווח וההמתנה לאישור הממונה</w:t>
      </w:r>
      <w:r w:rsidR="007E35C6">
        <w:rPr>
          <w:rFonts w:hint="cs"/>
          <w:rtl/>
        </w:rPr>
        <w:t xml:space="preserve">. </w:t>
      </w:r>
    </w:p>
    <w:p w:rsidR="007E35C6" w:rsidRDefault="007E35C6" w:rsidP="00B52561">
      <w:pPr>
        <w:spacing w:after="240"/>
        <w:ind w:left="32"/>
        <w:rPr>
          <w:rFonts w:hint="cs"/>
          <w:rtl/>
        </w:rPr>
      </w:pPr>
    </w:p>
    <w:p w:rsidR="007E35C6" w:rsidRDefault="007E35C6" w:rsidP="00B52561">
      <w:pPr>
        <w:spacing w:after="240"/>
        <w:ind w:left="32"/>
        <w:rPr>
          <w:rFonts w:hint="cs"/>
          <w:rtl/>
        </w:rPr>
      </w:pPr>
    </w:p>
    <w:p w:rsidR="007E35C6" w:rsidRDefault="007E35C6" w:rsidP="00B52561">
      <w:pPr>
        <w:spacing w:after="240"/>
        <w:ind w:left="32"/>
        <w:rPr>
          <w:rFonts w:hint="cs"/>
          <w:rtl/>
        </w:rPr>
      </w:pPr>
    </w:p>
    <w:p w:rsidR="007E35C6" w:rsidRPr="00C65204" w:rsidRDefault="007E35C6" w:rsidP="00C65204">
      <w:pPr>
        <w:pStyle w:val="Heading2"/>
        <w:rPr>
          <w:rFonts w:cs="David" w:hint="cs"/>
          <w:b w:val="0"/>
          <w:bCs w:val="0"/>
          <w:i w:val="0"/>
          <w:iCs w:val="0"/>
          <w:rtl/>
        </w:rPr>
      </w:pPr>
      <w:bookmarkStart w:id="18" w:name="_Toc151956814"/>
      <w:r w:rsidRPr="00C65204">
        <w:rPr>
          <w:rFonts w:cs="David" w:hint="cs"/>
          <w:i w:val="0"/>
          <w:iCs w:val="0"/>
          <w:rtl/>
        </w:rPr>
        <w:t>ה.2. חלופות המונופולין</w:t>
      </w:r>
      <w:bookmarkEnd w:id="18"/>
      <w:r w:rsidRPr="00C65204">
        <w:rPr>
          <w:rFonts w:cs="David" w:hint="cs"/>
          <w:b w:val="0"/>
          <w:bCs w:val="0"/>
          <w:i w:val="0"/>
          <w:iCs w:val="0"/>
          <w:rtl/>
        </w:rPr>
        <w:t xml:space="preserve"> </w:t>
      </w:r>
    </w:p>
    <w:p w:rsidR="007E35C6" w:rsidRDefault="007E35C6" w:rsidP="0010727D">
      <w:pPr>
        <w:spacing w:after="240"/>
        <w:ind w:left="32"/>
        <w:rPr>
          <w:rFonts w:hint="cs"/>
          <w:rtl/>
        </w:rPr>
      </w:pPr>
      <w:r w:rsidRPr="005A6560">
        <w:rPr>
          <w:rFonts w:hint="cs"/>
          <w:rtl/>
        </w:rPr>
        <w:t>מטר</w:t>
      </w:r>
      <w:r w:rsidR="005A6560" w:rsidRPr="005A6560">
        <w:rPr>
          <w:rFonts w:hint="cs"/>
          <w:rtl/>
        </w:rPr>
        <w:t>תו ה</w:t>
      </w:r>
      <w:r w:rsidR="00F91E24" w:rsidRPr="005A6560">
        <w:rPr>
          <w:rFonts w:hint="cs"/>
          <w:rtl/>
        </w:rPr>
        <w:t xml:space="preserve">עיקרית של </w:t>
      </w:r>
      <w:r w:rsidR="005A6560">
        <w:rPr>
          <w:rFonts w:hint="cs"/>
          <w:rtl/>
        </w:rPr>
        <w:t>ה</w:t>
      </w:r>
      <w:r w:rsidRPr="005A6560">
        <w:rPr>
          <w:rFonts w:hint="cs"/>
          <w:rtl/>
        </w:rPr>
        <w:t xml:space="preserve">פיקוח על מיזוגים היא למנוע </w:t>
      </w:r>
      <w:r w:rsidR="003E06C5">
        <w:rPr>
          <w:rFonts w:hint="cs"/>
          <w:rtl/>
        </w:rPr>
        <w:t>הקמה</w:t>
      </w:r>
      <w:r w:rsidR="003E06C5" w:rsidRPr="005A6560">
        <w:rPr>
          <w:rFonts w:hint="cs"/>
          <w:rtl/>
        </w:rPr>
        <w:t xml:space="preserve"> </w:t>
      </w:r>
      <w:r w:rsidRPr="005A6560">
        <w:rPr>
          <w:rFonts w:hint="cs"/>
          <w:rtl/>
        </w:rPr>
        <w:t xml:space="preserve">או חיזוק של </w:t>
      </w:r>
      <w:r w:rsidR="00F91E24" w:rsidRPr="005A6560">
        <w:rPr>
          <w:rFonts w:hint="cs"/>
          <w:rtl/>
        </w:rPr>
        <w:t xml:space="preserve">כוח שוק. </w:t>
      </w:r>
      <w:r w:rsidRPr="005A6560">
        <w:rPr>
          <w:rFonts w:hint="cs"/>
          <w:rtl/>
        </w:rPr>
        <w:t>בהתאם לכך, קבע ה</w:t>
      </w:r>
      <w:r w:rsidR="003E06C5">
        <w:rPr>
          <w:rFonts w:hint="cs"/>
          <w:rtl/>
        </w:rPr>
        <w:t>חוק</w:t>
      </w:r>
      <w:r w:rsidRPr="005A6560">
        <w:rPr>
          <w:rFonts w:hint="cs"/>
          <w:rtl/>
        </w:rPr>
        <w:t xml:space="preserve"> כי עסקאות מיזוג המקימות נתח שוק מונופוליסטי</w:t>
      </w:r>
      <w:r>
        <w:rPr>
          <w:rFonts w:hint="cs"/>
          <w:rtl/>
        </w:rPr>
        <w:t xml:space="preserve"> או עסקאות שצד להן הוא בעל מונופולין </w:t>
      </w:r>
      <w:r>
        <w:rPr>
          <w:rFonts w:hint="cs"/>
          <w:b/>
          <w:bCs/>
          <w:rtl/>
        </w:rPr>
        <w:t>טעונות פיקוח וחייבות בדיווח</w:t>
      </w:r>
      <w:r>
        <w:rPr>
          <w:rFonts w:hint="cs"/>
          <w:rtl/>
        </w:rPr>
        <w:t>.</w:t>
      </w:r>
      <w:r w:rsidR="003E06C5">
        <w:rPr>
          <w:rFonts w:hint="cs"/>
          <w:rtl/>
        </w:rPr>
        <w:t xml:space="preserve"> </w:t>
      </w:r>
      <w:r>
        <w:rPr>
          <w:rFonts w:hint="cs"/>
          <w:rtl/>
        </w:rPr>
        <w:t>הנחתו של ה</w:t>
      </w:r>
      <w:r w:rsidR="003E06C5">
        <w:rPr>
          <w:rFonts w:hint="cs"/>
          <w:rtl/>
        </w:rPr>
        <w:t>חוק</w:t>
      </w:r>
      <w:r>
        <w:rPr>
          <w:rFonts w:hint="cs"/>
          <w:rtl/>
        </w:rPr>
        <w:t xml:space="preserve"> הי</w:t>
      </w:r>
      <w:r w:rsidR="003E06C5">
        <w:rPr>
          <w:rFonts w:hint="cs"/>
          <w:rtl/>
        </w:rPr>
        <w:t>א</w:t>
      </w:r>
      <w:r>
        <w:rPr>
          <w:rFonts w:hint="cs"/>
          <w:rtl/>
        </w:rPr>
        <w:t xml:space="preserve">, כי עסקה שמעורב בה בעל מונופולין (לא כל שכן עסקה המקימה מונופולין) עשויה, </w:t>
      </w:r>
      <w:r w:rsidR="0010727D">
        <w:rPr>
          <w:rFonts w:hint="cs"/>
          <w:rtl/>
        </w:rPr>
        <w:t>על פני-הדברים</w:t>
      </w:r>
      <w:r>
        <w:rPr>
          <w:rFonts w:hint="cs"/>
          <w:rtl/>
        </w:rPr>
        <w:t>, להקים חשש לפגיעה משמעותית בתחרות</w:t>
      </w:r>
      <w:r w:rsidR="003E06C5">
        <w:rPr>
          <w:rFonts w:hint="cs"/>
          <w:rtl/>
        </w:rPr>
        <w:t>,</w:t>
      </w:r>
      <w:r>
        <w:rPr>
          <w:rFonts w:hint="cs"/>
          <w:rtl/>
        </w:rPr>
        <w:t xml:space="preserve"> וכי יש </w:t>
      </w:r>
      <w:r w:rsidR="003E06C5">
        <w:rPr>
          <w:rFonts w:hint="cs"/>
          <w:rtl/>
        </w:rPr>
        <w:t>הכרח להעמיד לבחינה פרטנית של</w:t>
      </w:r>
      <w:r>
        <w:rPr>
          <w:rFonts w:hint="cs"/>
          <w:rtl/>
        </w:rPr>
        <w:t xml:space="preserve"> </w:t>
      </w:r>
      <w:r w:rsidR="003E06C5">
        <w:rPr>
          <w:rFonts w:hint="cs"/>
          <w:rtl/>
        </w:rPr>
        <w:t>ה</w:t>
      </w:r>
      <w:r>
        <w:rPr>
          <w:rFonts w:hint="cs"/>
          <w:rtl/>
        </w:rPr>
        <w:t xml:space="preserve">ממונה </w:t>
      </w:r>
      <w:r w:rsidR="003E06C5">
        <w:rPr>
          <w:rFonts w:hint="cs"/>
          <w:rtl/>
        </w:rPr>
        <w:t>ה</w:t>
      </w:r>
      <w:r>
        <w:rPr>
          <w:rFonts w:hint="cs"/>
          <w:rtl/>
        </w:rPr>
        <w:t xml:space="preserve">אם </w:t>
      </w:r>
      <w:r w:rsidR="003E06C5">
        <w:rPr>
          <w:rFonts w:hint="cs"/>
          <w:rtl/>
        </w:rPr>
        <w:t xml:space="preserve">בנסיבות העניין </w:t>
      </w:r>
      <w:r>
        <w:rPr>
          <w:rFonts w:hint="cs"/>
          <w:rtl/>
        </w:rPr>
        <w:t xml:space="preserve">מתקיים חשש כאמור אם לאו.   </w:t>
      </w:r>
    </w:p>
    <w:p w:rsidR="007E35C6" w:rsidRDefault="007E35C6" w:rsidP="00B52561">
      <w:pPr>
        <w:spacing w:after="240"/>
        <w:ind w:left="32"/>
        <w:rPr>
          <w:rFonts w:hint="cs"/>
          <w:rtl/>
        </w:rPr>
      </w:pPr>
      <w:r>
        <w:rPr>
          <w:rFonts w:hint="cs"/>
          <w:rtl/>
        </w:rPr>
        <w:t>לשם בחינת התקיימותן של חלופות אלה, צריכים הצדדים לזהות את השווקים הרלבנטיים בהם הם פועלים ולהעריך את חלקם בשווקים אלה</w:t>
      </w:r>
      <w:r w:rsidR="00F24DF5">
        <w:rPr>
          <w:rFonts w:hint="cs"/>
          <w:rtl/>
        </w:rPr>
        <w:t>, בכדי לראות האם חלופת המונופולין מתקיימת באיזה מהשווקים</w:t>
      </w:r>
      <w:r>
        <w:rPr>
          <w:rFonts w:hint="cs"/>
          <w:rtl/>
        </w:rPr>
        <w:t xml:space="preserve">. במקרים רבים אין כל קושי בזיהוי זירות התחרות הרלבנטיות. במקרים אחרים עשוי להתעורר ספק בדבר הגדרת השוק הנכונה או בדבר מעמדו של צד למיזוג בשוק הרלבנטי. במקרים אלה ראוי לנקוט גישה זהירה ולהגיש הודעות מיזוג לממונה, זאת נוכח ההשלכות הקשות של הפרת חובת הדיווח הקבועה בחוק.  </w:t>
      </w:r>
    </w:p>
    <w:p w:rsidR="007E35C6" w:rsidRPr="009B4D97" w:rsidRDefault="007E35C6" w:rsidP="00B52561">
      <w:pPr>
        <w:pStyle w:val="Heading8"/>
        <w:spacing w:after="240"/>
        <w:ind w:left="32"/>
        <w:rPr>
          <w:rFonts w:hint="cs"/>
          <w:sz w:val="26"/>
          <w:szCs w:val="26"/>
          <w:rtl/>
        </w:rPr>
      </w:pPr>
      <w:r w:rsidRPr="009B4D97">
        <w:rPr>
          <w:rFonts w:hint="cs"/>
          <w:sz w:val="26"/>
          <w:szCs w:val="26"/>
          <w:rtl/>
        </w:rPr>
        <w:t>ה</w:t>
      </w:r>
      <w:r w:rsidR="009B4D97">
        <w:rPr>
          <w:rFonts w:hint="cs"/>
          <w:sz w:val="26"/>
          <w:szCs w:val="26"/>
          <w:rtl/>
        </w:rPr>
        <w:t>.</w:t>
      </w:r>
      <w:r w:rsidR="009B4D97" w:rsidRPr="009B4D97">
        <w:rPr>
          <w:rFonts w:hint="cs"/>
          <w:sz w:val="26"/>
          <w:szCs w:val="26"/>
          <w:rtl/>
        </w:rPr>
        <w:t>1</w:t>
      </w:r>
      <w:r w:rsidRPr="009B4D97">
        <w:rPr>
          <w:rFonts w:hint="cs"/>
          <w:sz w:val="26"/>
          <w:szCs w:val="26"/>
          <w:rtl/>
        </w:rPr>
        <w:t>.</w:t>
      </w:r>
      <w:r w:rsidR="009B4D97" w:rsidRPr="009B4D97">
        <w:rPr>
          <w:rFonts w:hint="cs"/>
          <w:sz w:val="26"/>
          <w:szCs w:val="26"/>
          <w:rtl/>
        </w:rPr>
        <w:t>2</w:t>
      </w:r>
      <w:r w:rsidRPr="009B4D97">
        <w:rPr>
          <w:rFonts w:hint="cs"/>
          <w:sz w:val="26"/>
          <w:szCs w:val="26"/>
          <w:rtl/>
        </w:rPr>
        <w:t xml:space="preserve">. חלקן המשותף של החברות המתמזגות יעלה על 50% </w:t>
      </w:r>
    </w:p>
    <w:p w:rsidR="007E35C6" w:rsidRDefault="007E35C6" w:rsidP="00B52561">
      <w:pPr>
        <w:pStyle w:val="Heading8"/>
        <w:spacing w:after="240"/>
        <w:ind w:left="32"/>
        <w:rPr>
          <w:rFonts w:hint="cs"/>
          <w:b w:val="0"/>
          <w:bCs w:val="0"/>
          <w:rtl/>
        </w:rPr>
      </w:pPr>
      <w:r>
        <w:rPr>
          <w:rFonts w:hint="cs"/>
          <w:b w:val="0"/>
          <w:bCs w:val="0"/>
          <w:rtl/>
        </w:rPr>
        <w:t xml:space="preserve">סעיף 17 (א)(1) לחוק מחייב לבחון את נתחי השוק של הצדדים למיזוג </w:t>
      </w:r>
      <w:r>
        <w:rPr>
          <w:rFonts w:hint="cs"/>
          <w:rtl/>
        </w:rPr>
        <w:t>בכל אחת מהחוליות בשרשרת הייצור</w:t>
      </w:r>
      <w:r>
        <w:rPr>
          <w:rFonts w:hint="cs"/>
          <w:b w:val="0"/>
          <w:bCs w:val="0"/>
          <w:rtl/>
        </w:rPr>
        <w:t xml:space="preserve">. די בכך שהמיזוג יוצר לחברה הממוזגת נתח שוק העולה על 50% מן הייצור </w:t>
      </w:r>
      <w:r>
        <w:rPr>
          <w:rFonts w:hint="cs"/>
          <w:rtl/>
        </w:rPr>
        <w:t xml:space="preserve">או </w:t>
      </w:r>
      <w:r>
        <w:rPr>
          <w:rFonts w:hint="cs"/>
          <w:b w:val="0"/>
          <w:bCs w:val="0"/>
          <w:rtl/>
        </w:rPr>
        <w:t xml:space="preserve">המכירה </w:t>
      </w:r>
      <w:r>
        <w:rPr>
          <w:rFonts w:hint="cs"/>
          <w:rtl/>
        </w:rPr>
        <w:t xml:space="preserve">או </w:t>
      </w:r>
      <w:r>
        <w:rPr>
          <w:rFonts w:hint="cs"/>
          <w:b w:val="0"/>
          <w:bCs w:val="0"/>
          <w:rtl/>
        </w:rPr>
        <w:t xml:space="preserve">השיווק </w:t>
      </w:r>
      <w:r>
        <w:rPr>
          <w:rFonts w:hint="cs"/>
          <w:rtl/>
        </w:rPr>
        <w:t>או</w:t>
      </w:r>
      <w:r>
        <w:rPr>
          <w:rFonts w:hint="cs"/>
          <w:b w:val="0"/>
          <w:bCs w:val="0"/>
          <w:rtl/>
        </w:rPr>
        <w:t xml:space="preserve"> הרכישה של נכס מסוים על מנת שיענה על דרישות סעיף 17 (א)(1) ויחייב הגשת הודעת מיזוג. </w:t>
      </w:r>
    </w:p>
    <w:p w:rsidR="007E35C6" w:rsidRDefault="007E35C6" w:rsidP="00B52561">
      <w:pPr>
        <w:spacing w:after="240"/>
        <w:ind w:left="32"/>
        <w:rPr>
          <w:rFonts w:hint="cs"/>
          <w:rtl/>
        </w:rPr>
      </w:pPr>
      <w:r>
        <w:rPr>
          <w:rFonts w:hint="cs"/>
          <w:rtl/>
        </w:rPr>
        <w:t>לצורך חישוב נתח השוק המצרפי של הצדדים למיזוג</w:t>
      </w:r>
      <w:r w:rsidR="0010727D">
        <w:rPr>
          <w:rFonts w:hint="cs"/>
          <w:rtl/>
        </w:rPr>
        <w:t>,</w:t>
      </w:r>
      <w:r>
        <w:rPr>
          <w:rFonts w:hint="cs"/>
          <w:rtl/>
        </w:rPr>
        <w:t xml:space="preserve"> יש להתחשב כמובן בכלל החברות המצויות בקשרי שליטה עם החברות המתקשרות בהסכם המיזוג.</w:t>
      </w:r>
      <w:r w:rsidR="00D124C0">
        <w:rPr>
          <w:rStyle w:val="FootnoteReference"/>
          <w:rtl/>
        </w:rPr>
        <w:footnoteReference w:id="54"/>
      </w:r>
      <w:r>
        <w:rPr>
          <w:rFonts w:hint="cs"/>
          <w:rtl/>
        </w:rPr>
        <w:t xml:space="preserve"> כך למשל, מיזוג בין שתי חברות מתחרות המחזיקות כל אחת בנתח שוק של 40% מחייב הגשת הודעת מיזוג, בין אם החברה האחת רוכשת את השנייה במישרין ובין אם הרכישה מתבצעת באמצעות חברה בת שאינה פועלת בתחום. </w:t>
      </w:r>
    </w:p>
    <w:p w:rsidR="007E35C6" w:rsidRDefault="007E35C6" w:rsidP="00B52561">
      <w:pPr>
        <w:spacing w:after="240"/>
        <w:ind w:left="32"/>
        <w:rPr>
          <w:rFonts w:hint="cs"/>
          <w:rtl/>
        </w:rPr>
      </w:pPr>
      <w:r>
        <w:rPr>
          <w:rFonts w:hint="cs"/>
          <w:rtl/>
        </w:rPr>
        <w:t xml:space="preserve">בעת חישוב מחזור המכירות המצרפי של הצדדים למיזוג יש לתת את הדעת גם להיבט הגיאוגרפי של הגדרת השוק. מיזוג היוצר נתח מונופוליסטי בשוק גיאוגרפי מסוים בישראל הוא מיזוג החייב בדיווח. כך למשל, מיזוג בין רשתות שיווק שנתח השוק הכלל ארצי שלהן אינו עולה על 50% </w:t>
      </w:r>
      <w:r w:rsidR="00535E0C">
        <w:rPr>
          <w:rFonts w:hint="cs"/>
          <w:rtl/>
        </w:rPr>
        <w:t xml:space="preserve">ואינו מקיים את חלופת מחזור המכירות, </w:t>
      </w:r>
      <w:r>
        <w:rPr>
          <w:rFonts w:hint="cs"/>
          <w:rtl/>
        </w:rPr>
        <w:t>עדיין יהיה חייב בדיווח</w:t>
      </w:r>
      <w:r w:rsidR="00535E0C">
        <w:rPr>
          <w:rFonts w:hint="cs"/>
          <w:rtl/>
        </w:rPr>
        <w:t xml:space="preserve"> </w:t>
      </w:r>
      <w:r>
        <w:rPr>
          <w:rFonts w:hint="cs"/>
          <w:rtl/>
        </w:rPr>
        <w:t xml:space="preserve">אם </w:t>
      </w:r>
      <w:r w:rsidR="00535E0C">
        <w:rPr>
          <w:rFonts w:hint="cs"/>
          <w:rtl/>
        </w:rPr>
        <w:t xml:space="preserve">הוא יוצר, </w:t>
      </w:r>
      <w:r>
        <w:rPr>
          <w:rFonts w:hint="cs"/>
          <w:rtl/>
        </w:rPr>
        <w:t>בשוק גיאוגרפי רלבנטי</w:t>
      </w:r>
      <w:r w:rsidR="00535E0C">
        <w:rPr>
          <w:rFonts w:hint="cs"/>
          <w:rtl/>
        </w:rPr>
        <w:t xml:space="preserve">, </w:t>
      </w:r>
      <w:r>
        <w:rPr>
          <w:rFonts w:hint="cs"/>
          <w:rtl/>
        </w:rPr>
        <w:t xml:space="preserve">נתח שוק מונופוליסטי לחברה הממוזגת.    </w:t>
      </w:r>
    </w:p>
    <w:p w:rsidR="007E35C6" w:rsidRPr="009B4D97" w:rsidRDefault="007E35C6" w:rsidP="00B52561">
      <w:pPr>
        <w:pStyle w:val="Heading9"/>
        <w:spacing w:after="240"/>
        <w:ind w:left="32"/>
        <w:rPr>
          <w:rFonts w:hint="cs"/>
          <w:sz w:val="26"/>
          <w:szCs w:val="26"/>
          <w:rtl/>
        </w:rPr>
      </w:pPr>
      <w:r w:rsidRPr="009B4D97">
        <w:rPr>
          <w:rFonts w:hint="cs"/>
          <w:sz w:val="26"/>
          <w:szCs w:val="26"/>
          <w:rtl/>
        </w:rPr>
        <w:t xml:space="preserve">ה.2.2. צד למיזוג הוא בעל מונופולין </w:t>
      </w:r>
    </w:p>
    <w:p w:rsidR="007E35C6" w:rsidRDefault="007E35C6" w:rsidP="00030656">
      <w:pPr>
        <w:numPr>
          <w:ilvl w:val="0"/>
          <w:numId w:val="5"/>
        </w:numPr>
        <w:tabs>
          <w:tab w:val="clear" w:pos="1290"/>
          <w:tab w:val="num" w:pos="572"/>
        </w:tabs>
        <w:spacing w:after="240"/>
        <w:ind w:left="32" w:right="0" w:firstLine="0"/>
        <w:rPr>
          <w:rFonts w:hint="cs"/>
          <w:rtl/>
        </w:rPr>
      </w:pPr>
      <w:r>
        <w:rPr>
          <w:rFonts w:hint="cs"/>
          <w:rtl/>
        </w:rPr>
        <w:t>מיזוג חברות שצד לו הוא בעל מונופולין חייב בדיווח לממונה. ודוק, אין צורך כי המונופולין יהיה "בשוק הרלבנטי לעסקת המיזוג". המשמעות התחרותית של המונופולין וההשלכות האפשריות של קיומו על התחרות בשווקים הרלבנטיים יבדקו לכשתוגשנה הודעות המיזוג, אולם מעורבות מונופולין בעסקת מיזוג מקימה, כשלעצמה, צורך להביאו תחת עדשת הפיקוח</w:t>
      </w:r>
      <w:r w:rsidR="00525156">
        <w:rPr>
          <w:rFonts w:hint="cs"/>
          <w:rtl/>
        </w:rPr>
        <w:t xml:space="preserve">, זאת בכפוף לאמור להלן. </w:t>
      </w:r>
    </w:p>
    <w:p w:rsidR="007E35C6" w:rsidRPr="00A51FD4" w:rsidRDefault="007E35C6" w:rsidP="00030656">
      <w:pPr>
        <w:numPr>
          <w:ilvl w:val="0"/>
          <w:numId w:val="5"/>
        </w:numPr>
        <w:tabs>
          <w:tab w:val="clear" w:pos="1290"/>
          <w:tab w:val="num" w:pos="572"/>
        </w:tabs>
        <w:spacing w:after="240"/>
        <w:ind w:left="32" w:right="0" w:firstLine="0"/>
        <w:rPr>
          <w:rFonts w:hint="cs"/>
        </w:rPr>
      </w:pPr>
      <w:r w:rsidRPr="00A51FD4">
        <w:rPr>
          <w:rFonts w:hint="cs"/>
          <w:rtl/>
        </w:rPr>
        <w:t xml:space="preserve">חובת הדיווח קמה בין </w:t>
      </w:r>
      <w:r w:rsidR="00535E0C" w:rsidRPr="00A51FD4">
        <w:rPr>
          <w:rFonts w:hint="cs"/>
          <w:rtl/>
        </w:rPr>
        <w:t xml:space="preserve">אם </w:t>
      </w:r>
      <w:r w:rsidRPr="00A51FD4">
        <w:rPr>
          <w:rFonts w:hint="cs"/>
          <w:rtl/>
        </w:rPr>
        <w:t>מדובר בבעל מונופולין מוכרז ובין אם לאו. הטעם לכך הוא שהכרזת מונופולין אינה יוצרת את המעמד המונופוליסטי אלא אך מכריזה על קיומו.</w:t>
      </w:r>
      <w:r w:rsidR="009B4D97">
        <w:rPr>
          <w:rStyle w:val="FootnoteReference"/>
          <w:rtl/>
        </w:rPr>
        <w:footnoteReference w:id="55"/>
      </w:r>
      <w:r w:rsidRPr="00A51FD4">
        <w:rPr>
          <w:rFonts w:hint="cs"/>
          <w:rtl/>
        </w:rPr>
        <w:t xml:space="preserve"> </w:t>
      </w:r>
    </w:p>
    <w:p w:rsidR="001C68A7" w:rsidRPr="00A51FD4" w:rsidRDefault="007E35C6" w:rsidP="00030656">
      <w:pPr>
        <w:numPr>
          <w:ilvl w:val="0"/>
          <w:numId w:val="5"/>
        </w:numPr>
        <w:tabs>
          <w:tab w:val="clear" w:pos="1290"/>
          <w:tab w:val="num" w:pos="572"/>
        </w:tabs>
        <w:spacing w:after="240"/>
        <w:ind w:left="32" w:right="0" w:firstLine="0"/>
        <w:rPr>
          <w:rFonts w:hint="cs"/>
        </w:rPr>
      </w:pPr>
      <w:r w:rsidRPr="00A51FD4">
        <w:rPr>
          <w:rFonts w:hint="cs"/>
          <w:rtl/>
        </w:rPr>
        <w:t>הגדרת מונופולין בחוק מחילה ביחס לבעל המונופולין התייחסות "קונצרנית" ולופתת את כל החברות המצויות בקשרי שליטה עם בעל המונופולין. מכאן שכל עסקה שעושה חברה המצויה בקשרי שליטה עם בעל מונופולין טעונה הגשת הודעת מיזוג, שכן החוק מזהה את בעל המונופולין עם היחידה הכלכלית אליה הוא משתייך. לאותה תוצאה מגיעים גם בנתיבי סעיף 1 לחוק, אשר לוכד גם מיזוג חברות הנעשה בעקיפין (ומכוחו הופך בעל המונופולין לצד רלוונטי בכל מיזוג הנעשה על ידי חברה הנמנית על אותו אשכול חברות אליו הוא מש</w:t>
      </w:r>
      <w:r w:rsidR="00467492">
        <w:rPr>
          <w:rFonts w:hint="cs"/>
          <w:rtl/>
        </w:rPr>
        <w:t>ת</w:t>
      </w:r>
      <w:r w:rsidRPr="00A51FD4">
        <w:rPr>
          <w:rFonts w:hint="cs"/>
          <w:rtl/>
        </w:rPr>
        <w:t>ייך). הגיונם של הדברים בהקשר הפיקוח על מיזוגים ברור ומובן. בהיעדר הסתכלות מהותית אל היחידה הכלכלית אליה משתייך המונופולין יוכלו בעלי מונופולין לחמוק בקלות מחובת הדיווח הקבועה בסעיף 17 (א)(3) לחוק, אם יבצעו עסקאות מיזוג באמצעות חברות אחרות הנמנות על אשכול החברות לו הם שייכים. תוצאה כזו מרוקנת את הסעיף מתוכנו וחותרת תחת המטרה העומדת בבסיסו של סעיף 17 לחוק, שהיא כאמור זיהוי הישויות הכלכליות המעורבות בעסקת המיזוג. עם זאת, ה</w:t>
      </w:r>
      <w:r w:rsidR="00525156" w:rsidRPr="00A51FD4">
        <w:rPr>
          <w:rFonts w:hint="cs"/>
          <w:rtl/>
        </w:rPr>
        <w:t xml:space="preserve">חלת </w:t>
      </w:r>
      <w:r w:rsidRPr="00A51FD4">
        <w:rPr>
          <w:rFonts w:hint="cs"/>
          <w:rtl/>
        </w:rPr>
        <w:t xml:space="preserve">חובת הדיווח </w:t>
      </w:r>
      <w:r w:rsidR="00525156" w:rsidRPr="00A51FD4">
        <w:rPr>
          <w:rFonts w:hint="cs"/>
          <w:rtl/>
        </w:rPr>
        <w:t xml:space="preserve">על </w:t>
      </w:r>
      <w:r w:rsidRPr="00A51FD4">
        <w:rPr>
          <w:rFonts w:hint="cs"/>
          <w:rtl/>
        </w:rPr>
        <w:t>כל תאגיד ה</w:t>
      </w:r>
      <w:r w:rsidR="00525156" w:rsidRPr="00A51FD4">
        <w:rPr>
          <w:rFonts w:hint="cs"/>
          <w:rtl/>
        </w:rPr>
        <w:t>קשור בקשרי שליטה לבעל מונופולין, מבלי להתייחס ל</w:t>
      </w:r>
      <w:r w:rsidR="00F506B1" w:rsidRPr="00A51FD4">
        <w:rPr>
          <w:rFonts w:hint="cs"/>
          <w:rtl/>
        </w:rPr>
        <w:t xml:space="preserve">תחומי הפעילות בהם קיים המונופולין </w:t>
      </w:r>
      <w:r w:rsidR="00525156" w:rsidRPr="00A51FD4">
        <w:rPr>
          <w:rFonts w:hint="cs"/>
          <w:rtl/>
        </w:rPr>
        <w:t>ול</w:t>
      </w:r>
      <w:r w:rsidR="00F506B1" w:rsidRPr="00A51FD4">
        <w:rPr>
          <w:rFonts w:hint="cs"/>
          <w:rtl/>
        </w:rPr>
        <w:t>קשרי הגומלין בינם לבין המוצרים וה</w:t>
      </w:r>
      <w:r w:rsidR="00F91E24" w:rsidRPr="00A51FD4">
        <w:rPr>
          <w:rFonts w:hint="cs"/>
          <w:rtl/>
        </w:rPr>
        <w:t xml:space="preserve">פעילויות </w:t>
      </w:r>
      <w:r w:rsidR="00F506B1" w:rsidRPr="00A51FD4">
        <w:rPr>
          <w:rFonts w:hint="cs"/>
          <w:rtl/>
        </w:rPr>
        <w:t xml:space="preserve">של </w:t>
      </w:r>
      <w:r w:rsidR="00525156" w:rsidRPr="00A51FD4">
        <w:rPr>
          <w:rFonts w:hint="cs"/>
          <w:rtl/>
        </w:rPr>
        <w:t xml:space="preserve">הצד השני למיזוג, </w:t>
      </w:r>
      <w:r w:rsidRPr="00A51FD4">
        <w:rPr>
          <w:rFonts w:hint="cs"/>
          <w:rtl/>
        </w:rPr>
        <w:t xml:space="preserve">עלולה להביא להרחבת יתר של סעיף 17 (א) לחוק. לדידה של הרשות, פרשנות תכליתית של חלופה זו מחייבת </w:t>
      </w:r>
      <w:r w:rsidR="00D7479C">
        <w:rPr>
          <w:rFonts w:hint="cs"/>
          <w:rtl/>
        </w:rPr>
        <w:t>להעביר במסננת</w:t>
      </w:r>
      <w:r w:rsidRPr="00A51FD4">
        <w:rPr>
          <w:rFonts w:hint="cs"/>
          <w:rtl/>
        </w:rPr>
        <w:t xml:space="preserve"> הפיקוח את אותן עסקאות בהן </w:t>
      </w:r>
      <w:r w:rsidR="00525156" w:rsidRPr="00A51FD4">
        <w:rPr>
          <w:rFonts w:hint="cs"/>
          <w:rtl/>
        </w:rPr>
        <w:t>מק</w:t>
      </w:r>
      <w:r w:rsidRPr="00A51FD4">
        <w:rPr>
          <w:rFonts w:hint="cs"/>
          <w:rtl/>
        </w:rPr>
        <w:t xml:space="preserve">יים תאגיד </w:t>
      </w:r>
      <w:r w:rsidR="00525156" w:rsidRPr="00A51FD4">
        <w:rPr>
          <w:rFonts w:hint="cs"/>
          <w:rtl/>
        </w:rPr>
        <w:t xml:space="preserve">מונופוליסטי הקשור בקשרי שליטה ישירים או עקיפים לצד למיזוג, זיקה תחרותית (ולו חלקית ורפה) לפעילות המנוהלת על ידי קבוצת החברות אליה משתייך הצד השני למיזוג. זיקה תחרותית זו </w:t>
      </w:r>
      <w:r w:rsidR="005E284C" w:rsidRPr="00A51FD4">
        <w:rPr>
          <w:rFonts w:hint="cs"/>
          <w:rtl/>
        </w:rPr>
        <w:t xml:space="preserve">קיימת בעיקר </w:t>
      </w:r>
      <w:r w:rsidR="00DC4ECD" w:rsidRPr="00A51FD4">
        <w:rPr>
          <w:rFonts w:hint="cs"/>
          <w:rtl/>
        </w:rPr>
        <w:t xml:space="preserve">כשמדובר בטובין </w:t>
      </w:r>
      <w:r w:rsidR="00D7479C">
        <w:rPr>
          <w:rFonts w:hint="cs"/>
          <w:rtl/>
        </w:rPr>
        <w:t xml:space="preserve">או שירותים </w:t>
      </w:r>
      <w:r w:rsidR="00DC4ECD" w:rsidRPr="00A51FD4">
        <w:rPr>
          <w:rFonts w:hint="cs"/>
          <w:rtl/>
        </w:rPr>
        <w:t>תחליפיים זה לזה (זיקה אופקית)</w:t>
      </w:r>
      <w:r w:rsidR="005E284C" w:rsidRPr="00A51FD4">
        <w:rPr>
          <w:rFonts w:hint="cs"/>
          <w:rtl/>
        </w:rPr>
        <w:t xml:space="preserve"> או </w:t>
      </w:r>
      <w:r w:rsidR="00DC4ECD" w:rsidRPr="00A51FD4">
        <w:rPr>
          <w:rFonts w:hint="cs"/>
          <w:rtl/>
        </w:rPr>
        <w:t>כאשר טובין</w:t>
      </w:r>
      <w:r w:rsidR="00D7479C">
        <w:rPr>
          <w:rFonts w:hint="cs"/>
          <w:rtl/>
        </w:rPr>
        <w:t xml:space="preserve"> או שירותים</w:t>
      </w:r>
      <w:r w:rsidR="00DC4ECD" w:rsidRPr="00A51FD4">
        <w:rPr>
          <w:rFonts w:hint="cs"/>
          <w:rtl/>
        </w:rPr>
        <w:t xml:space="preserve"> אחד משמש תשומה בייצורו או בשיווקו של הטובין השני (זיקה אנכית)</w:t>
      </w:r>
      <w:r w:rsidR="005E284C" w:rsidRPr="00A51FD4">
        <w:rPr>
          <w:rFonts w:hint="cs"/>
          <w:rtl/>
        </w:rPr>
        <w:t>.</w:t>
      </w:r>
      <w:r w:rsidR="005E284C" w:rsidRPr="00A51FD4">
        <w:rPr>
          <w:rStyle w:val="FootnoteReference"/>
          <w:rtl/>
        </w:rPr>
        <w:footnoteReference w:id="56"/>
      </w:r>
      <w:r w:rsidR="005E284C" w:rsidRPr="00A51FD4">
        <w:rPr>
          <w:rFonts w:hint="cs"/>
          <w:rtl/>
        </w:rPr>
        <w:t xml:space="preserve"> יודגש, כי זיקה תחרותית אופקית מתייחסת, לעניין זה,  הן לקיום תחרות בפועל והן לקיום תחרות בכוח.</w:t>
      </w:r>
      <w:r w:rsidR="005E284C" w:rsidRPr="00A51FD4">
        <w:rPr>
          <w:rStyle w:val="FootnoteReference"/>
          <w:rtl/>
        </w:rPr>
        <w:footnoteReference w:id="57"/>
      </w:r>
      <w:r w:rsidR="005E284C" w:rsidRPr="00A51FD4">
        <w:rPr>
          <w:rFonts w:hint="cs"/>
          <w:rtl/>
        </w:rPr>
        <w:t xml:space="preserve"> </w:t>
      </w:r>
    </w:p>
    <w:p w:rsidR="00E2627E" w:rsidRDefault="00E2627E" w:rsidP="00CB5B03">
      <w:pPr>
        <w:spacing w:after="240"/>
        <w:ind w:left="32"/>
        <w:rPr>
          <w:rFonts w:hint="cs"/>
          <w:rtl/>
        </w:rPr>
      </w:pPr>
      <w:r>
        <w:rPr>
          <w:rFonts w:hint="cs"/>
          <w:rtl/>
        </w:rPr>
        <w:t xml:space="preserve">בבואנו ליישם את מבחן המונופולין עלינו להחיל אפוא מבחן דו שלבי: </w:t>
      </w:r>
      <w:r w:rsidRPr="0000100D">
        <w:rPr>
          <w:rFonts w:hint="cs"/>
          <w:b/>
          <w:bCs/>
          <w:rtl/>
        </w:rPr>
        <w:t>בשלב הראשון</w:t>
      </w:r>
      <w:r>
        <w:rPr>
          <w:rFonts w:hint="cs"/>
          <w:rtl/>
        </w:rPr>
        <w:t xml:space="preserve"> עלינו לזהות את כל הגופים המונופוליסטיים הנמנים על הקבוצה הכלכלית אליה משויך כל צד לעסקת המיזוג.</w:t>
      </w:r>
      <w:r>
        <w:rPr>
          <w:rStyle w:val="FootnoteReference"/>
          <w:rtl/>
        </w:rPr>
        <w:footnoteReference w:id="58"/>
      </w:r>
      <w:r>
        <w:rPr>
          <w:rFonts w:hint="cs"/>
          <w:rtl/>
        </w:rPr>
        <w:t xml:space="preserve"> </w:t>
      </w:r>
      <w:r w:rsidRPr="0000100D">
        <w:rPr>
          <w:rFonts w:hint="cs"/>
          <w:b/>
          <w:bCs/>
          <w:rtl/>
        </w:rPr>
        <w:t xml:space="preserve">בשלב </w:t>
      </w:r>
      <w:r w:rsidR="00467492">
        <w:rPr>
          <w:rFonts w:hint="cs"/>
          <w:b/>
          <w:bCs/>
          <w:rtl/>
        </w:rPr>
        <w:t>ה</w:t>
      </w:r>
      <w:r w:rsidRPr="0000100D">
        <w:rPr>
          <w:rFonts w:hint="cs"/>
          <w:b/>
          <w:bCs/>
          <w:rtl/>
        </w:rPr>
        <w:t>שני</w:t>
      </w:r>
      <w:r>
        <w:rPr>
          <w:rFonts w:hint="cs"/>
          <w:rtl/>
        </w:rPr>
        <w:t xml:space="preserve">, עלינו לבחון אם קיימת זיקה תחרותית בין המונופולין הנתון לאיזה מגופים אלה לבין מוצר או שירות המסופק על ידי חברה הנמנית על הקבוצות הכלכליות האחרות המעורבות במיזוג. </w:t>
      </w:r>
    </w:p>
    <w:p w:rsidR="00F354FD" w:rsidRDefault="001C68A7" w:rsidP="00B52561">
      <w:pPr>
        <w:spacing w:after="240"/>
        <w:ind w:left="32"/>
        <w:rPr>
          <w:rFonts w:hint="cs"/>
          <w:rtl/>
        </w:rPr>
      </w:pPr>
      <w:r>
        <w:rPr>
          <w:rFonts w:hint="cs"/>
          <w:rtl/>
        </w:rPr>
        <w:t>כאשר חובת הדיווח מושתתת על חלו</w:t>
      </w:r>
      <w:r w:rsidR="00F354FD">
        <w:rPr>
          <w:rFonts w:hint="cs"/>
          <w:rtl/>
        </w:rPr>
        <w:t>פת המונופולין בלבד</w:t>
      </w:r>
      <w:r w:rsidR="00D7479C">
        <w:rPr>
          <w:rFonts w:hint="cs"/>
          <w:rtl/>
        </w:rPr>
        <w:t>,</w:t>
      </w:r>
      <w:r w:rsidR="00F354FD">
        <w:rPr>
          <w:rFonts w:hint="cs"/>
          <w:rtl/>
        </w:rPr>
        <w:t xml:space="preserve"> ולא מתקיימת בנסיבות העניין </w:t>
      </w:r>
      <w:r>
        <w:rPr>
          <w:rFonts w:hint="cs"/>
          <w:rtl/>
        </w:rPr>
        <w:t xml:space="preserve">זיקה אופקית או אנכית, </w:t>
      </w:r>
      <w:r w:rsidR="00F354FD">
        <w:rPr>
          <w:rFonts w:hint="cs"/>
          <w:rtl/>
        </w:rPr>
        <w:t xml:space="preserve">עשויה רשות ההגבלים העסקיים להודיע לצדדים כי אין הם נדרשים למסור הודעת מיזוג בנסיבות העניין. הודעה כזו של הרשות יכול שתבוא, רק על בסיס פנייה פרטנית מהצדדים למיזוג שתכלול גילוי מלא של כל הפרטים הרלוונטיים ורק אם הרשות תסבור שהמידע שבפניה מלמד, כי בנסיבות העניין לא מתקיימת במיזוג זיקה תחרותית רלוונטית: אופקית, אנכית או אחרת. </w:t>
      </w:r>
    </w:p>
    <w:p w:rsidR="0000100D" w:rsidRDefault="00DC4ECD" w:rsidP="00B52561">
      <w:pPr>
        <w:spacing w:after="240"/>
        <w:ind w:left="32"/>
        <w:rPr>
          <w:rFonts w:hint="cs"/>
          <w:rtl/>
        </w:rPr>
      </w:pPr>
      <w:r>
        <w:rPr>
          <w:rFonts w:hint="cs"/>
          <w:rtl/>
        </w:rPr>
        <w:t xml:space="preserve">בבסיס מדיניות הרשות </w:t>
      </w:r>
      <w:r w:rsidR="0052255A">
        <w:rPr>
          <w:rFonts w:hint="cs"/>
          <w:rtl/>
        </w:rPr>
        <w:t>ניצבת ההכרה בכך ש</w:t>
      </w:r>
      <w:r w:rsidR="007E35C6">
        <w:rPr>
          <w:rFonts w:hint="cs"/>
          <w:rtl/>
        </w:rPr>
        <w:t xml:space="preserve">חלופת המונופולין, במובחן מחלופת מחזור המכירות, מחילה מבחן </w:t>
      </w:r>
      <w:r>
        <w:rPr>
          <w:rFonts w:hint="cs"/>
          <w:rtl/>
        </w:rPr>
        <w:t xml:space="preserve">בעל הקשר </w:t>
      </w:r>
      <w:r w:rsidR="007E35C6">
        <w:rPr>
          <w:rFonts w:hint="cs"/>
          <w:rtl/>
        </w:rPr>
        <w:t>תחרותי (גם אם גס וכללי). על כן נכון ל</w:t>
      </w:r>
      <w:r w:rsidR="00647D37">
        <w:rPr>
          <w:rFonts w:hint="cs"/>
          <w:rtl/>
        </w:rPr>
        <w:t>שרטט את חובת הדיווח</w:t>
      </w:r>
      <w:r w:rsidR="007E35C6">
        <w:rPr>
          <w:rFonts w:hint="cs"/>
          <w:rtl/>
        </w:rPr>
        <w:t xml:space="preserve">, </w:t>
      </w:r>
      <w:r w:rsidR="00647D37">
        <w:rPr>
          <w:rFonts w:hint="cs"/>
          <w:rtl/>
        </w:rPr>
        <w:t xml:space="preserve">כך שתתייחס </w:t>
      </w:r>
      <w:r w:rsidR="007E35C6">
        <w:rPr>
          <w:rFonts w:hint="cs"/>
          <w:rtl/>
        </w:rPr>
        <w:t>ל</w:t>
      </w:r>
      <w:r w:rsidR="00F91E24">
        <w:rPr>
          <w:rFonts w:hint="cs"/>
          <w:rtl/>
        </w:rPr>
        <w:t xml:space="preserve">קיומו של מונופולין בקבוצת החברות עליה נמנה התאגיד המדווח, רק </w:t>
      </w:r>
      <w:r>
        <w:rPr>
          <w:rFonts w:hint="cs"/>
          <w:rtl/>
        </w:rPr>
        <w:t xml:space="preserve">כל עוד </w:t>
      </w:r>
      <w:r w:rsidR="00F91E24">
        <w:rPr>
          <w:rFonts w:hint="cs"/>
          <w:rtl/>
        </w:rPr>
        <w:t>מקיים מונופולין זה ז</w:t>
      </w:r>
      <w:r>
        <w:rPr>
          <w:rFonts w:hint="cs"/>
          <w:rtl/>
        </w:rPr>
        <w:t xml:space="preserve">יקה תחרותית כלשהי לפעילותו של הצד השני למיזוג. </w:t>
      </w:r>
      <w:r w:rsidR="007E35C6">
        <w:rPr>
          <w:rFonts w:hint="cs"/>
          <w:rtl/>
        </w:rPr>
        <w:t xml:space="preserve">  </w:t>
      </w:r>
    </w:p>
    <w:p w:rsidR="007E35C6" w:rsidRPr="00C65204" w:rsidRDefault="007E35C6" w:rsidP="00C65204">
      <w:pPr>
        <w:pStyle w:val="Heading2"/>
        <w:rPr>
          <w:rFonts w:cs="David" w:hint="cs"/>
          <w:i w:val="0"/>
          <w:iCs w:val="0"/>
          <w:rtl/>
        </w:rPr>
      </w:pPr>
      <w:bookmarkStart w:id="19" w:name="_Toc151956815"/>
      <w:r w:rsidRPr="00C65204">
        <w:rPr>
          <w:rFonts w:cs="David" w:hint="cs"/>
          <w:i w:val="0"/>
          <w:iCs w:val="0"/>
          <w:rtl/>
        </w:rPr>
        <w:t>ה.3. חלופת מחזור המכירות</w:t>
      </w:r>
      <w:bookmarkEnd w:id="19"/>
      <w:r w:rsidRPr="00C65204">
        <w:rPr>
          <w:rFonts w:cs="David" w:hint="cs"/>
          <w:i w:val="0"/>
          <w:iCs w:val="0"/>
          <w:rtl/>
        </w:rPr>
        <w:t xml:space="preserve">   </w:t>
      </w:r>
    </w:p>
    <w:p w:rsidR="007E35C6" w:rsidRDefault="007E35C6" w:rsidP="00B52561">
      <w:pPr>
        <w:spacing w:after="240"/>
        <w:ind w:left="32"/>
        <w:rPr>
          <w:rFonts w:hint="cs"/>
          <w:rtl/>
        </w:rPr>
      </w:pPr>
      <w:r>
        <w:rPr>
          <w:rFonts w:hint="cs"/>
          <w:rtl/>
        </w:rPr>
        <w:t xml:space="preserve">מחזור המכירות של החברה משמש אמת מידה להערכת </w:t>
      </w:r>
      <w:r w:rsidR="00FF22A7">
        <w:rPr>
          <w:rFonts w:hint="cs"/>
          <w:rtl/>
        </w:rPr>
        <w:t xml:space="preserve">היקף </w:t>
      </w:r>
      <w:r>
        <w:rPr>
          <w:rFonts w:hint="cs"/>
          <w:rtl/>
        </w:rPr>
        <w:t xml:space="preserve">הפעילות העסקית המתבצעת בה. דיני ההגבלים העסקיים משתמשים במחזורי מכירות ככלי נוסף לסינון עסקאות מיזוג זניחות, שאין אינטרס ציבורי בבחינתן על ידי הממונה. מנגד, עסקת מיזוג שמתקיים בה רף מחזור המכירות הקבוע בדין </w:t>
      </w:r>
      <w:r>
        <w:rPr>
          <w:rFonts w:hint="cs"/>
          <w:b/>
          <w:bCs/>
          <w:rtl/>
        </w:rPr>
        <w:t>חייבת בדיווח ובאישור</w:t>
      </w:r>
      <w:r>
        <w:rPr>
          <w:rFonts w:hint="cs"/>
          <w:rtl/>
        </w:rPr>
        <w:t xml:space="preserve">, זאת בין אם </w:t>
      </w:r>
      <w:r w:rsidR="00FF22A7">
        <w:rPr>
          <w:rFonts w:hint="cs"/>
          <w:rtl/>
        </w:rPr>
        <w:t xml:space="preserve">על פני הדברים </w:t>
      </w:r>
      <w:r>
        <w:rPr>
          <w:rFonts w:hint="cs"/>
          <w:rtl/>
        </w:rPr>
        <w:t>עולה ממנה חשש תחרותי ובין אם לאו.</w:t>
      </w:r>
    </w:p>
    <w:p w:rsidR="007E35C6" w:rsidRDefault="004D66A9" w:rsidP="00B52561">
      <w:pPr>
        <w:spacing w:after="240"/>
        <w:ind w:left="32"/>
        <w:rPr>
          <w:rFonts w:hint="cs"/>
          <w:rtl/>
        </w:rPr>
      </w:pPr>
      <w:r>
        <w:rPr>
          <w:noProof/>
          <w:sz w:val="20"/>
          <w:rtl/>
          <w:lang w:eastAsia="en-US"/>
        </w:rPr>
        <mc:AlternateContent>
          <mc:Choice Requires="wps">
            <w:drawing>
              <wp:anchor distT="0" distB="0" distL="114300" distR="114300" simplePos="0" relativeHeight="251656704" behindDoc="0" locked="0" layoutInCell="1" allowOverlap="1">
                <wp:simplePos x="0" y="0"/>
                <wp:positionH relativeFrom="column">
                  <wp:posOffset>-114300</wp:posOffset>
                </wp:positionH>
                <wp:positionV relativeFrom="paragraph">
                  <wp:posOffset>163195</wp:posOffset>
                </wp:positionV>
                <wp:extent cx="5372100" cy="1028700"/>
                <wp:effectExtent l="7620" t="6985" r="11430" b="12065"/>
                <wp:wrapNone/>
                <wp:docPr id="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2100" cy="1028700"/>
                        </a:xfrm>
                        <a:prstGeom prst="rect">
                          <a:avLst/>
                        </a:prstGeom>
                        <a:solidFill>
                          <a:srgbClr val="FFFFFF"/>
                        </a:solidFill>
                        <a:ln w="9525">
                          <a:solidFill>
                            <a:srgbClr val="000000"/>
                          </a:solidFill>
                          <a:miter lim="800000"/>
                          <a:headEnd/>
                          <a:tailEnd/>
                        </a:ln>
                      </wps:spPr>
                      <wps:txbx>
                        <w:txbxContent>
                          <w:p w:rsidR="00293CD3" w:rsidRDefault="00293CD3" w:rsidP="00293A57">
                            <w:pPr>
                              <w:rPr>
                                <w:b/>
                                <w:bCs/>
                                <w:color w:val="0000FF"/>
                                <w:rtl/>
                              </w:rPr>
                            </w:pPr>
                            <w:r>
                              <w:rPr>
                                <w:rFonts w:hint="cs"/>
                                <w:b/>
                                <w:bCs/>
                                <w:color w:val="0000FF"/>
                                <w:rtl/>
                              </w:rPr>
                              <w:t xml:space="preserve">על פי החוק והתקנות שהותקנו מכוחו, חייבים הצדדים למיזוג לדווח על המיזוג ולהימנע מביצועו, טרם שניתן לכך אישור הממונה, אם מחזור המכירות המצרפי והמאוחד שלהם  עולה על 150 מליון ₪ (מעודכן לחודש יוני 2004) ומחזור המכירות המאוחד של לפחות שני צדדים למיזוג עולה על 10 מליון ש"ח.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 o:spid="_x0000_s1030" type="#_x0000_t202" style="position:absolute;left:0;text-align:left;margin-left:-9pt;margin-top:12.85pt;width:423pt;height:8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kjQLAIAAFkEAAAOAAAAZHJzL2Uyb0RvYy54bWysVNtu2zAMfR+wfxD0vvjS3GrEKbp0GQZ0&#10;F6DdB8iyHAuTRU1SYmdfX0pO0+z2MswPAilSh+Qh6dXN0ClyENZJ0CXNJiklQnOopd6V9Ovj9s2S&#10;EueZrpkCLUp6FI7erF+/WvWmEDm0oGphCYJoV/SmpK33pkgSx1vRMTcBIzQaG7Ad86jaXVJb1iN6&#10;p5I8TedJD7Y2FrhwDm/vRiNdR/ymEdx/bhonPFElxdx8PG08q3Am6xUrdpaZVvJTGuwfsuiY1Bj0&#10;DHXHPCN7K3+D6iS34KDxEw5dAk0juYg1YDVZ+ks1Dy0zItaC5Dhzpsn9P1j+6fDFElmXdE6JZh22&#10;6FEMnryFgWTzQE9vXIFeDwb9/ID32OZYqjP3wL85omHTMr0Tt9ZC3wpWY3pZeJlcPB1xXACp+o9Q&#10;Yxy29xCBhsZ2gTtkgyA6tul4bk3IhePl7GqRZymaONqyNF8uUAkxWPH83Fjn3wvoSBBKarH3EZ4d&#10;7p0fXZ9dQjQHStZbqVRU7K7aKEsODOdkG78T+k9uSpO+pNezfDYy8FeINH5/guikx4FXsivp8uzE&#10;isDbO11jmqzwTKpRxuqUPhEZuBtZ9EM1xJZdhQCB5ArqIzJrYZxv3EcUWrA/KOlxtkvqvu+ZFZSo&#10;Dxq7c51Np2EZojKdLXJU7KWlurQwzRGqpJ6SUdz4cYH2xspdi5HGedBwix1tZOT6JatT+ji/sVun&#10;XQsLcqlHr5c/wvoJAAD//wMAUEsDBBQABgAIAAAAIQAK1i194AAAAAoBAAAPAAAAZHJzL2Rvd25y&#10;ZXYueG1sTI/LTsMwEEX3SPyDNUhsUOs0QGNCnAohgWAHpSpbN54mEX4E203D3zNdwXJmju6cW60m&#10;a9iIIfbeSVjMM2DoGq9710rYfDzNBLCYlNPKeIcSfjDCqj4/q1Sp/dG947hOLaMQF0sloUtpKDmP&#10;TYdWxbkf0NFt74NVicbQch3UkcKt4XmWLblVvaMPnRrwscPma32wEsTNy/gZX6/fts1yb+7SVTE+&#10;fwcpLy+mh3tgCaf0B8NJn9ShJqedPzgdmZEwWwjqkiTktwUwAkR+WuyIFEUBvK74/wr1LwAAAP//&#10;AwBQSwECLQAUAAYACAAAACEAtoM4kv4AAADhAQAAEwAAAAAAAAAAAAAAAAAAAAAAW0NvbnRlbnRf&#10;VHlwZXNdLnhtbFBLAQItABQABgAIAAAAIQA4/SH/1gAAAJQBAAALAAAAAAAAAAAAAAAAAC8BAABf&#10;cmVscy8ucmVsc1BLAQItABQABgAIAAAAIQCiykjQLAIAAFkEAAAOAAAAAAAAAAAAAAAAAC4CAABk&#10;cnMvZTJvRG9jLnhtbFBLAQItABQABgAIAAAAIQAK1i194AAAAAoBAAAPAAAAAAAAAAAAAAAAAIYE&#10;AABkcnMvZG93bnJldi54bWxQSwUGAAAAAAQABADzAAAAkwUAAAAA&#10;">
                <v:textbox>
                  <w:txbxContent>
                    <w:p w:rsidR="00293CD3" w:rsidRDefault="00293CD3" w:rsidP="00293A57">
                      <w:pPr>
                        <w:rPr>
                          <w:b/>
                          <w:bCs/>
                          <w:color w:val="0000FF"/>
                          <w:rtl/>
                        </w:rPr>
                      </w:pPr>
                      <w:r>
                        <w:rPr>
                          <w:rFonts w:hint="cs"/>
                          <w:b/>
                          <w:bCs/>
                          <w:color w:val="0000FF"/>
                          <w:rtl/>
                        </w:rPr>
                        <w:t xml:space="preserve">על פי החוק והתקנות שהותקנו מכוחו, חייבים הצדדים למיזוג לדווח על המיזוג ולהימנע מביצועו, טרם שניתן לכך אישור הממונה, אם מחזור המכירות המצרפי והמאוחד שלהם  עולה על 150 מליון ₪ (מעודכן לחודש יוני 2004) ומחזור המכירות המאוחד של לפחות שני צדדים למיזוג עולה על 10 מליון ש"ח.  </w:t>
                      </w:r>
                    </w:p>
                  </w:txbxContent>
                </v:textbox>
              </v:shape>
            </w:pict>
          </mc:Fallback>
        </mc:AlternateContent>
      </w:r>
      <w:r w:rsidR="007E35C6">
        <w:rPr>
          <w:rFonts w:hint="cs"/>
          <w:rtl/>
        </w:rPr>
        <w:t xml:space="preserve"> </w:t>
      </w:r>
    </w:p>
    <w:p w:rsidR="007E35C6" w:rsidRDefault="007E35C6" w:rsidP="00B52561">
      <w:pPr>
        <w:spacing w:after="240"/>
        <w:ind w:left="32"/>
        <w:rPr>
          <w:rFonts w:hint="cs"/>
          <w:rtl/>
        </w:rPr>
      </w:pPr>
    </w:p>
    <w:p w:rsidR="007E35C6" w:rsidRDefault="007E35C6" w:rsidP="00B52561">
      <w:pPr>
        <w:spacing w:after="240"/>
        <w:ind w:left="32"/>
        <w:rPr>
          <w:rFonts w:hint="cs"/>
          <w:rtl/>
        </w:rPr>
      </w:pPr>
    </w:p>
    <w:p w:rsidR="007E35C6" w:rsidRDefault="007E35C6" w:rsidP="00B52561">
      <w:pPr>
        <w:spacing w:after="240"/>
        <w:ind w:left="32"/>
        <w:rPr>
          <w:rFonts w:hint="cs"/>
          <w:rtl/>
        </w:rPr>
      </w:pPr>
    </w:p>
    <w:p w:rsidR="00293A57" w:rsidRDefault="00293A57" w:rsidP="00B52561">
      <w:pPr>
        <w:spacing w:after="240"/>
        <w:ind w:left="32"/>
        <w:rPr>
          <w:rFonts w:hint="cs"/>
          <w:rtl/>
        </w:rPr>
      </w:pPr>
    </w:p>
    <w:p w:rsidR="007E35C6" w:rsidRPr="00467492" w:rsidRDefault="007E35C6" w:rsidP="00B52561">
      <w:pPr>
        <w:spacing w:after="240"/>
        <w:ind w:left="32"/>
        <w:rPr>
          <w:rFonts w:hint="cs"/>
          <w:b/>
          <w:bCs/>
          <w:sz w:val="26"/>
          <w:szCs w:val="26"/>
          <w:rtl/>
        </w:rPr>
      </w:pPr>
      <w:r w:rsidRPr="00467492">
        <w:rPr>
          <w:rFonts w:hint="cs"/>
          <w:b/>
          <w:bCs/>
          <w:sz w:val="26"/>
          <w:szCs w:val="26"/>
          <w:rtl/>
        </w:rPr>
        <w:t>ה.</w:t>
      </w:r>
      <w:r w:rsidR="00467492">
        <w:rPr>
          <w:rFonts w:hint="cs"/>
          <w:b/>
          <w:bCs/>
          <w:sz w:val="26"/>
          <w:szCs w:val="26"/>
          <w:rtl/>
        </w:rPr>
        <w:t>1</w:t>
      </w:r>
      <w:r w:rsidRPr="00467492">
        <w:rPr>
          <w:rFonts w:hint="cs"/>
          <w:b/>
          <w:bCs/>
          <w:sz w:val="26"/>
          <w:szCs w:val="26"/>
          <w:rtl/>
        </w:rPr>
        <w:t>.</w:t>
      </w:r>
      <w:r w:rsidR="00467492">
        <w:rPr>
          <w:rFonts w:hint="cs"/>
          <w:b/>
          <w:bCs/>
          <w:sz w:val="26"/>
          <w:szCs w:val="26"/>
          <w:rtl/>
        </w:rPr>
        <w:t>3</w:t>
      </w:r>
      <w:r w:rsidRPr="00467492">
        <w:rPr>
          <w:rFonts w:hint="cs"/>
          <w:b/>
          <w:bCs/>
          <w:sz w:val="26"/>
          <w:szCs w:val="26"/>
          <w:rtl/>
        </w:rPr>
        <w:t xml:space="preserve">. מחזור מכירות מאוחד </w:t>
      </w:r>
    </w:p>
    <w:p w:rsidR="007E35C6" w:rsidRDefault="007E35C6" w:rsidP="00B52561">
      <w:pPr>
        <w:spacing w:after="240"/>
        <w:ind w:left="32"/>
        <w:rPr>
          <w:rFonts w:hint="cs"/>
          <w:rtl/>
        </w:rPr>
      </w:pPr>
      <w:r>
        <w:rPr>
          <w:rFonts w:hint="cs"/>
          <w:rtl/>
        </w:rPr>
        <w:t xml:space="preserve">חלופת מחזור המכירות מבקשת לזהות את הישויות הכלכליות המעורבות בעסקת המיזוג, לפי נפח הפעילות שלהן. </w:t>
      </w:r>
      <w:r w:rsidR="00535E0C">
        <w:rPr>
          <w:rFonts w:hint="cs"/>
          <w:rtl/>
        </w:rPr>
        <w:t xml:space="preserve">לפיכך, </w:t>
      </w:r>
      <w:r>
        <w:rPr>
          <w:rFonts w:hint="cs"/>
          <w:rtl/>
        </w:rPr>
        <w:t>תקנה 9 לתקנות המיזוגים מורה</w:t>
      </w:r>
      <w:r w:rsidR="00535E0C">
        <w:rPr>
          <w:rFonts w:hint="cs"/>
          <w:rtl/>
        </w:rPr>
        <w:t xml:space="preserve">, כי </w:t>
      </w:r>
      <w:r>
        <w:rPr>
          <w:rFonts w:hint="cs"/>
          <w:rtl/>
        </w:rPr>
        <w:t xml:space="preserve">לצורך חישוב מחזור המכירות של החברה המתמזגת יש לאחד את מחזורי המכירות של הגופים השולטים בה או נשלטים על ידה. מהוראת תקנה 9 נגזרים שני כללים מעשיים לחישוב מחזור המכירות של צד למיזוג: האחד, כי בחישוב מחזור המכירות </w:t>
      </w:r>
      <w:r>
        <w:rPr>
          <w:rFonts w:hint="cs"/>
          <w:b/>
          <w:bCs/>
          <w:rtl/>
        </w:rPr>
        <w:t>יש להביא בחשבון את מחזור המכירות של כלל הגופים השולטים או נשלטים על ידי ובידי החברה המתמזגת וכל גוף הנשלט או שולט במי מהם</w:t>
      </w:r>
      <w:r w:rsidR="00D474A6">
        <w:rPr>
          <w:rFonts w:hint="cs"/>
          <w:b/>
          <w:bCs/>
          <w:rtl/>
        </w:rPr>
        <w:t xml:space="preserve">, במישרין או בעקיפין </w:t>
      </w:r>
      <w:r>
        <w:rPr>
          <w:rFonts w:hint="cs"/>
          <w:rtl/>
        </w:rPr>
        <w:t>(להלן: "</w:t>
      </w:r>
      <w:r>
        <w:rPr>
          <w:rFonts w:hint="cs"/>
          <w:b/>
          <w:bCs/>
          <w:rtl/>
        </w:rPr>
        <w:t>הגופים הקשורים</w:t>
      </w:r>
      <w:r>
        <w:rPr>
          <w:rFonts w:hint="cs"/>
          <w:rtl/>
        </w:rPr>
        <w:t>").</w:t>
      </w:r>
      <w:r>
        <w:rPr>
          <w:rStyle w:val="FootnoteReference"/>
          <w:rtl/>
        </w:rPr>
        <w:footnoteReference w:id="59"/>
      </w:r>
      <w:r>
        <w:rPr>
          <w:rFonts w:hint="cs"/>
          <w:rtl/>
        </w:rPr>
        <w:t xml:space="preserve"> השני, כי </w:t>
      </w:r>
      <w:r w:rsidR="00D474A6">
        <w:rPr>
          <w:rFonts w:hint="cs"/>
          <w:b/>
          <w:bCs/>
          <w:rtl/>
        </w:rPr>
        <w:t xml:space="preserve">חישוב </w:t>
      </w:r>
      <w:r>
        <w:rPr>
          <w:rFonts w:hint="cs"/>
          <w:b/>
          <w:bCs/>
          <w:rtl/>
        </w:rPr>
        <w:t>מחזור המכירות ייעשה לפי כללי החשבונאות המקובלים</w:t>
      </w:r>
      <w:r>
        <w:rPr>
          <w:rFonts w:hint="cs"/>
          <w:rtl/>
        </w:rPr>
        <w:t xml:space="preserve">. לשון אחר, מחזור המכירות של החברה המתמזגת הוא מחזור המכירות המאחד </w:t>
      </w:r>
      <w:r w:rsidR="00563E13">
        <w:rPr>
          <w:rFonts w:hint="cs"/>
          <w:rtl/>
        </w:rPr>
        <w:t xml:space="preserve">את כלל הגורמים המצויים בשליטת </w:t>
      </w:r>
      <w:r>
        <w:rPr>
          <w:rFonts w:hint="cs"/>
          <w:rtl/>
        </w:rPr>
        <w:t xml:space="preserve">הגורם הראשוני בשרשרת השליטה </w:t>
      </w:r>
      <w:r w:rsidR="00563E13">
        <w:rPr>
          <w:rFonts w:hint="cs"/>
          <w:rtl/>
        </w:rPr>
        <w:t xml:space="preserve">במגיש ההודעה </w:t>
      </w:r>
      <w:r>
        <w:t>(Ultimate Parent Entity)</w:t>
      </w:r>
      <w:r>
        <w:rPr>
          <w:rFonts w:hint="cs"/>
          <w:rtl/>
        </w:rPr>
        <w:t>.</w:t>
      </w:r>
      <w:r>
        <w:rPr>
          <w:rStyle w:val="FootnoteReference"/>
          <w:rtl/>
        </w:rPr>
        <w:footnoteReference w:id="60"/>
      </w:r>
      <w:r>
        <w:rPr>
          <w:rFonts w:hint="cs"/>
          <w:rtl/>
        </w:rPr>
        <w:t xml:space="preserve"> </w:t>
      </w:r>
    </w:p>
    <w:p w:rsidR="001D50D4" w:rsidRDefault="001D50D4" w:rsidP="00B52561">
      <w:pPr>
        <w:spacing w:after="240"/>
        <w:ind w:left="32"/>
        <w:rPr>
          <w:rFonts w:hint="cs"/>
          <w:rtl/>
        </w:rPr>
      </w:pPr>
    </w:p>
    <w:p w:rsidR="007E35C6" w:rsidRPr="00467492" w:rsidRDefault="007E35C6" w:rsidP="00B52561">
      <w:pPr>
        <w:spacing w:after="240"/>
        <w:ind w:left="32"/>
        <w:rPr>
          <w:rFonts w:hint="cs"/>
          <w:b/>
          <w:bCs/>
          <w:sz w:val="26"/>
          <w:szCs w:val="26"/>
          <w:rtl/>
        </w:rPr>
      </w:pPr>
      <w:r w:rsidRPr="00467492">
        <w:rPr>
          <w:rFonts w:hint="cs"/>
          <w:b/>
          <w:bCs/>
          <w:sz w:val="26"/>
          <w:szCs w:val="26"/>
          <w:rtl/>
        </w:rPr>
        <w:t>ה.</w:t>
      </w:r>
      <w:r w:rsidR="00467492" w:rsidRPr="00467492">
        <w:rPr>
          <w:rFonts w:hint="cs"/>
          <w:b/>
          <w:bCs/>
          <w:sz w:val="26"/>
          <w:szCs w:val="26"/>
          <w:rtl/>
        </w:rPr>
        <w:t>2</w:t>
      </w:r>
      <w:r w:rsidRPr="00467492">
        <w:rPr>
          <w:rFonts w:hint="cs"/>
          <w:b/>
          <w:bCs/>
          <w:sz w:val="26"/>
          <w:szCs w:val="26"/>
          <w:rtl/>
        </w:rPr>
        <w:t>.</w:t>
      </w:r>
      <w:r w:rsidR="00467492" w:rsidRPr="00467492">
        <w:rPr>
          <w:rFonts w:hint="cs"/>
          <w:b/>
          <w:bCs/>
          <w:sz w:val="26"/>
          <w:szCs w:val="26"/>
          <w:rtl/>
        </w:rPr>
        <w:t>3</w:t>
      </w:r>
      <w:r w:rsidRPr="00467492">
        <w:rPr>
          <w:rFonts w:hint="cs"/>
          <w:b/>
          <w:bCs/>
          <w:sz w:val="26"/>
          <w:szCs w:val="26"/>
          <w:rtl/>
        </w:rPr>
        <w:t>. חישוב מחזור מכירות במכירה מלאה של חטיבת פעילות או חברה</w:t>
      </w:r>
    </w:p>
    <w:p w:rsidR="007E35C6" w:rsidRDefault="007E35C6" w:rsidP="00B52561">
      <w:pPr>
        <w:spacing w:after="240"/>
        <w:ind w:left="32"/>
        <w:rPr>
          <w:rFonts w:hint="cs"/>
          <w:rtl/>
        </w:rPr>
      </w:pPr>
      <w:r>
        <w:rPr>
          <w:rFonts w:hint="cs"/>
          <w:rtl/>
        </w:rPr>
        <w:t xml:space="preserve">כאמור לעיל, חלופת מחזור המכירות מבקשת לזהות את נפח הפעילות של הגורמים הרלבנטיים לעסקת המיזוג, שהם בדרך כלל אותם עסקים השותפים לזיקה המבנית שיוצר המיזוג ועסקים הקשורים עמם בקשרי שליטה.     </w:t>
      </w:r>
    </w:p>
    <w:p w:rsidR="007E35C6" w:rsidRDefault="007E35C6" w:rsidP="00B52561">
      <w:pPr>
        <w:spacing w:after="240"/>
        <w:ind w:left="32"/>
        <w:rPr>
          <w:rFonts w:hint="cs"/>
          <w:b/>
          <w:bCs/>
          <w:rtl/>
        </w:rPr>
      </w:pPr>
      <w:r>
        <w:rPr>
          <w:rFonts w:hint="cs"/>
          <w:rtl/>
        </w:rPr>
        <w:t xml:space="preserve">ואולם, בעסקאות מיזוג בהן נפרד המוכר, </w:t>
      </w:r>
      <w:r>
        <w:rPr>
          <w:rFonts w:hint="cs"/>
          <w:b/>
          <w:bCs/>
          <w:rtl/>
        </w:rPr>
        <w:t>לחלוטין</w:t>
      </w:r>
      <w:r>
        <w:rPr>
          <w:rFonts w:hint="cs"/>
          <w:rtl/>
        </w:rPr>
        <w:t>, מפעילות עסקית המצויה בבעלותו, יוצר המיזוג זיקה מבנית מ</w:t>
      </w:r>
      <w:r w:rsidR="003560FC">
        <w:rPr>
          <w:rFonts w:hint="cs"/>
          <w:rtl/>
        </w:rPr>
        <w:t xml:space="preserve">תוחמת </w:t>
      </w:r>
      <w:r>
        <w:rPr>
          <w:rFonts w:hint="cs"/>
          <w:rtl/>
        </w:rPr>
        <w:t xml:space="preserve"> - בין הרוכש ובין הפעילות הנמכרת. במקרה כזה, בהנחה שאכן ניתקו </w:t>
      </w:r>
      <w:r>
        <w:rPr>
          <w:rFonts w:hint="cs"/>
          <w:b/>
          <w:bCs/>
          <w:u w:val="single"/>
          <w:rtl/>
        </w:rPr>
        <w:t>כל הזיקות</w:t>
      </w:r>
      <w:r>
        <w:rPr>
          <w:rFonts w:hint="cs"/>
          <w:rtl/>
        </w:rPr>
        <w:t xml:space="preserve"> בין הגוף המוכר לפעילות הנמכרת, אין צורך ככלל להיזקק למחזור המכירות של הגוף המוכר בעסקיו האחרים שאינם נוטלים חלק בחבירה המבנית נשוא המיזוג.</w:t>
      </w:r>
      <w:r>
        <w:rPr>
          <w:rStyle w:val="FootnoteReference"/>
          <w:rtl/>
        </w:rPr>
        <w:footnoteReference w:id="61"/>
      </w:r>
      <w:r>
        <w:rPr>
          <w:rFonts w:hint="cs"/>
          <w:rtl/>
        </w:rPr>
        <w:t xml:space="preserve"> על כן</w:t>
      </w:r>
      <w:r w:rsidR="00B75A9C">
        <w:rPr>
          <w:rFonts w:hint="cs"/>
          <w:rtl/>
        </w:rPr>
        <w:t>,</w:t>
      </w:r>
      <w:r>
        <w:rPr>
          <w:rFonts w:hint="cs"/>
          <w:rtl/>
        </w:rPr>
        <w:t xml:space="preserve"> </w:t>
      </w:r>
      <w:r w:rsidR="00446F15">
        <w:rPr>
          <w:rFonts w:hint="cs"/>
          <w:rtl/>
        </w:rPr>
        <w:t>עמדת הרשות היא</w:t>
      </w:r>
      <w:r>
        <w:rPr>
          <w:rFonts w:hint="cs"/>
          <w:rtl/>
        </w:rPr>
        <w:t xml:space="preserve"> </w:t>
      </w:r>
      <w:r w:rsidR="00446F15">
        <w:rPr>
          <w:rFonts w:hint="cs"/>
          <w:rtl/>
        </w:rPr>
        <w:t>ש</w:t>
      </w:r>
      <w:r>
        <w:rPr>
          <w:rFonts w:hint="cs"/>
          <w:rtl/>
        </w:rPr>
        <w:t xml:space="preserve">במקרים אלה ניתן להתחשב, לצורך חישוב מחזור המכירות של הצד הנרכש במיזוג, במחזור המכירות הרלבנטי המתייחס לפעילות הנמכרת, תוך התעלמות ממחזור המכירות של החברה המוכרת. עמדה זו של הרשות מתייחסת רק למצבים בהם נותקו </w:t>
      </w:r>
      <w:r>
        <w:rPr>
          <w:rFonts w:hint="cs"/>
          <w:b/>
          <w:bCs/>
          <w:u w:val="single"/>
          <w:rtl/>
        </w:rPr>
        <w:t>כל הזיקות</w:t>
      </w:r>
      <w:r>
        <w:rPr>
          <w:rFonts w:hint="cs"/>
          <w:rtl/>
        </w:rPr>
        <w:t xml:space="preserve"> בין הגוף המוכר (לרבות כל אדם </w:t>
      </w:r>
      <w:r w:rsidR="00D474A6">
        <w:rPr>
          <w:rFonts w:hint="cs"/>
          <w:rtl/>
        </w:rPr>
        <w:t>המסונף אליו</w:t>
      </w:r>
      <w:r>
        <w:rPr>
          <w:rFonts w:hint="cs"/>
          <w:rtl/>
        </w:rPr>
        <w:t xml:space="preserve">) ובין הפעילות הנמכרת. </w:t>
      </w:r>
      <w:r w:rsidR="002F732B">
        <w:rPr>
          <w:rFonts w:hint="cs"/>
          <w:rtl/>
        </w:rPr>
        <w:t xml:space="preserve">עמדה זו של הרשות חלה, בהתאמה, גם כאשר עסקינן במכירת חברה או חטיבת פעילות על ידי בעל מונופולין, ככל שהעסקה יוצרת </w:t>
      </w:r>
      <w:r w:rsidR="002F732B" w:rsidRPr="002F732B">
        <w:rPr>
          <w:rFonts w:hint="cs"/>
          <w:b/>
          <w:bCs/>
          <w:u w:val="single"/>
          <w:rtl/>
        </w:rPr>
        <w:t>ניתוק מוחלט</w:t>
      </w:r>
      <w:r w:rsidR="002F732B">
        <w:rPr>
          <w:rFonts w:hint="cs"/>
          <w:rtl/>
        </w:rPr>
        <w:t xml:space="preserve"> בין בעל המונופולין לפעילות הנמכרת. </w:t>
      </w:r>
      <w:r>
        <w:rPr>
          <w:rFonts w:hint="cs"/>
          <w:rtl/>
        </w:rPr>
        <w:t xml:space="preserve">       </w:t>
      </w:r>
      <w:r>
        <w:rPr>
          <w:rFonts w:hint="cs"/>
          <w:b/>
          <w:bCs/>
          <w:rtl/>
        </w:rPr>
        <w:t xml:space="preserve"> </w:t>
      </w:r>
    </w:p>
    <w:p w:rsidR="007E35C6" w:rsidRPr="00467492" w:rsidRDefault="007E35C6" w:rsidP="00B52561">
      <w:pPr>
        <w:spacing w:after="240"/>
        <w:ind w:left="32"/>
        <w:rPr>
          <w:rFonts w:hint="cs"/>
          <w:b/>
          <w:bCs/>
          <w:sz w:val="26"/>
          <w:szCs w:val="26"/>
        </w:rPr>
      </w:pPr>
      <w:r w:rsidRPr="00467492">
        <w:rPr>
          <w:rFonts w:hint="cs"/>
          <w:b/>
          <w:bCs/>
          <w:sz w:val="26"/>
          <w:szCs w:val="26"/>
          <w:rtl/>
        </w:rPr>
        <w:t xml:space="preserve">ה.3.3. מחזור מכירות בישראל  </w:t>
      </w:r>
    </w:p>
    <w:p w:rsidR="007E35C6" w:rsidRDefault="007E35C6" w:rsidP="00B52561">
      <w:pPr>
        <w:spacing w:after="240"/>
        <w:ind w:left="32"/>
        <w:rPr>
          <w:rFonts w:hint="cs"/>
          <w:rtl/>
        </w:rPr>
      </w:pPr>
      <w:r>
        <w:rPr>
          <w:rFonts w:hint="cs"/>
          <w:rtl/>
        </w:rPr>
        <w:t xml:space="preserve">סעיף 18 לחוק קובע: </w:t>
      </w:r>
    </w:p>
    <w:p w:rsidR="007E35C6" w:rsidRDefault="007E35C6" w:rsidP="00B52561">
      <w:pPr>
        <w:pStyle w:val="-"/>
        <w:rPr>
          <w:rFonts w:hint="cs"/>
          <w:szCs w:val="22"/>
          <w:rtl/>
        </w:rPr>
      </w:pPr>
      <w:r>
        <w:rPr>
          <w:rFonts w:hint="cs"/>
          <w:rtl/>
        </w:rPr>
        <w:t>"במיזוג עם חברה המנהלת עסקים הן בישראל והן מחוץ לישראל, יחולו הוראות פרק זה רק לגבי מחזור המכירות של החברה בישראל......".</w:t>
      </w:r>
      <w:r>
        <w:rPr>
          <w:rFonts w:hint="cs"/>
          <w:szCs w:val="22"/>
          <w:rtl/>
        </w:rPr>
        <w:t xml:space="preserve"> </w:t>
      </w:r>
    </w:p>
    <w:p w:rsidR="007E35C6" w:rsidRDefault="007E35C6" w:rsidP="00B52561">
      <w:pPr>
        <w:spacing w:after="240"/>
        <w:ind w:left="32"/>
        <w:rPr>
          <w:rFonts w:hint="cs"/>
          <w:rtl/>
        </w:rPr>
      </w:pPr>
      <w:r>
        <w:rPr>
          <w:rFonts w:hint="cs"/>
          <w:rtl/>
        </w:rPr>
        <w:t>לפיכך, מקום בו מחזור המכירות של החברות המתמזגות כולל מכירות שנעשו בחו"ל, יש מקום להחיל את הוראת סעיף 18 לחוק ולהתחשב רק באותו חלק של מחזור המכירות המתייחס למכירות בישראל.</w:t>
      </w:r>
      <w:r w:rsidR="00D474A6">
        <w:rPr>
          <w:rStyle w:val="FootnoteReference"/>
          <w:rtl/>
        </w:rPr>
        <w:footnoteReference w:id="62"/>
      </w:r>
      <w:r>
        <w:rPr>
          <w:rFonts w:hint="cs"/>
          <w:rtl/>
        </w:rPr>
        <w:t xml:space="preserve"> </w:t>
      </w:r>
    </w:p>
    <w:p w:rsidR="007E35C6" w:rsidRPr="00B75A9C" w:rsidRDefault="00B75A9C" w:rsidP="00B52561">
      <w:pPr>
        <w:spacing w:after="240"/>
        <w:ind w:left="32"/>
        <w:rPr>
          <w:rFonts w:hint="cs"/>
          <w:b/>
          <w:bCs/>
          <w:sz w:val="26"/>
          <w:szCs w:val="26"/>
          <w:rtl/>
        </w:rPr>
      </w:pPr>
      <w:r w:rsidRPr="00B75A9C">
        <w:rPr>
          <w:rFonts w:hint="cs"/>
          <w:b/>
          <w:bCs/>
          <w:sz w:val="26"/>
          <w:szCs w:val="26"/>
          <w:rtl/>
        </w:rPr>
        <w:t>ה.4.3.</w:t>
      </w:r>
      <w:r w:rsidR="007E35C6" w:rsidRPr="00B75A9C">
        <w:rPr>
          <w:rFonts w:hint="cs"/>
          <w:b/>
          <w:bCs/>
          <w:sz w:val="26"/>
          <w:szCs w:val="26"/>
          <w:rtl/>
        </w:rPr>
        <w:t xml:space="preserve"> חישוב מחזור המכירות בגופים פיננסיים</w:t>
      </w:r>
    </w:p>
    <w:p w:rsidR="007E35C6" w:rsidRDefault="007E35C6" w:rsidP="00B52561">
      <w:pPr>
        <w:spacing w:after="240"/>
        <w:ind w:left="32"/>
        <w:rPr>
          <w:rFonts w:hint="cs"/>
          <w:rtl/>
        </w:rPr>
      </w:pPr>
      <w:r>
        <w:rPr>
          <w:rFonts w:hint="cs"/>
          <w:rtl/>
        </w:rPr>
        <w:t>חוק ההגבלים העסקיים ותקנות המיזוגים מתייחסים ל"מחזור המכירות" של הצדדים למיזוג כאמת מידה לפיה נקבע</w:t>
      </w:r>
      <w:r w:rsidR="00B75A9C">
        <w:rPr>
          <w:rFonts w:hint="cs"/>
          <w:rtl/>
        </w:rPr>
        <w:t>ת</w:t>
      </w:r>
      <w:r>
        <w:rPr>
          <w:rFonts w:hint="cs"/>
          <w:rtl/>
        </w:rPr>
        <w:t xml:space="preserve"> קיומה של חובת דיווח על מיזוג לממונה. ואולם, במשק הישראלי פועלות חברות רבות שעיסוקן אינו בפעילות יצרנית אלא בפעילות פיננסית (כגון: חברות השקעה, בנקים, חברות ביטוח וגופים פיננסיים אחרים), שביטויה אינו "במכירות" כי אם בתקבולים והכנסות ממקורות שונים. עמדתה של הרשות היא כי לצורך חישוב "מחזור המכירות" של גופים אלה יש להתחשב </w:t>
      </w:r>
      <w:r>
        <w:rPr>
          <w:rFonts w:hint="cs"/>
          <w:b/>
          <w:bCs/>
          <w:rtl/>
        </w:rPr>
        <w:t>בסך ההכנסות מפעילות שוטפת</w:t>
      </w:r>
      <w:r>
        <w:rPr>
          <w:rFonts w:hint="cs"/>
          <w:rtl/>
        </w:rPr>
        <w:t xml:space="preserve"> של אותו גוף, לפי העניין (עמלות, דיבידנדים, </w:t>
      </w:r>
      <w:r w:rsidR="00A416DD">
        <w:rPr>
          <w:rFonts w:hint="cs"/>
          <w:rtl/>
        </w:rPr>
        <w:t xml:space="preserve">דמי ניהול, </w:t>
      </w:r>
      <w:r>
        <w:rPr>
          <w:rFonts w:hint="cs"/>
          <w:rtl/>
        </w:rPr>
        <w:t xml:space="preserve">פרמיות וכו'). הטעם לכך מובן: חלופת מחזור המכירות מבקשת להתחקות אחר נפח הפעילות העסקית של הצדדים למיזוג. סך התקבולים מפעילות שוטפת משקף את נפח פעילותם של גופים פיננסיים ומהווה אמת מידה שקולה למחזור מכירות בחברה יצרנית. </w:t>
      </w:r>
    </w:p>
    <w:p w:rsidR="007E35C6" w:rsidRDefault="007E35C6" w:rsidP="00B52561">
      <w:pPr>
        <w:spacing w:after="240"/>
        <w:ind w:left="32"/>
        <w:rPr>
          <w:rFonts w:hint="cs"/>
          <w:rtl/>
        </w:rPr>
      </w:pPr>
      <w:r>
        <w:rPr>
          <w:rFonts w:hint="cs"/>
          <w:rtl/>
        </w:rPr>
        <w:t>אין באמור לגרוע מהכלל המחייב איחוד מחזורים עם חברות המצויות בקשרי שליטה עם החברה המתמזגת. במקרה כזה, יתווסף מחזור המכירות של החברות בקבוצה לסך ההכנסות מפעילות שוטפת של התאגיד הפיננסי עצמו והסך הכולל ייחשב למחזור המכירות הרלבנטי של החברה המתמזגת.</w:t>
      </w:r>
      <w:r>
        <w:rPr>
          <w:rStyle w:val="FootnoteReference"/>
          <w:rtl/>
        </w:rPr>
        <w:footnoteReference w:id="63"/>
      </w:r>
      <w:r>
        <w:rPr>
          <w:rFonts w:hint="cs"/>
          <w:rtl/>
        </w:rPr>
        <w:t xml:space="preserve">  </w:t>
      </w:r>
    </w:p>
    <w:p w:rsidR="007E35C6" w:rsidRDefault="007E35C6" w:rsidP="00B52561">
      <w:pPr>
        <w:spacing w:after="240"/>
        <w:ind w:left="32"/>
        <w:rPr>
          <w:rFonts w:hint="cs"/>
          <w:rtl/>
        </w:rPr>
      </w:pPr>
      <w:r>
        <w:rPr>
          <w:rFonts w:hint="cs"/>
          <w:b/>
          <w:bCs/>
          <w:rtl/>
        </w:rPr>
        <w:t>מבלי לגרוע מכלליות האמור לעיל</w:t>
      </w:r>
      <w:r>
        <w:rPr>
          <w:rFonts w:hint="cs"/>
          <w:rtl/>
        </w:rPr>
        <w:t xml:space="preserve">, להלן מספר דוגמאות להמחשת הדברים:   </w:t>
      </w:r>
    </w:p>
    <w:p w:rsidR="007E35C6" w:rsidRDefault="007E35C6" w:rsidP="00030656">
      <w:pPr>
        <w:numPr>
          <w:ilvl w:val="0"/>
          <w:numId w:val="5"/>
        </w:numPr>
        <w:tabs>
          <w:tab w:val="clear" w:pos="1290"/>
          <w:tab w:val="num" w:pos="572"/>
        </w:tabs>
        <w:spacing w:after="240"/>
        <w:ind w:left="32" w:right="0" w:firstLine="0"/>
        <w:rPr>
          <w:rFonts w:hint="cs"/>
          <w:rtl/>
        </w:rPr>
      </w:pPr>
      <w:r>
        <w:rPr>
          <w:rFonts w:hint="cs"/>
          <w:b/>
          <w:bCs/>
          <w:u w:val="single"/>
          <w:rtl/>
        </w:rPr>
        <w:t>מוסדות בנקאיים</w:t>
      </w:r>
      <w:r>
        <w:rPr>
          <w:rFonts w:hint="cs"/>
          <w:rtl/>
        </w:rPr>
        <w:t xml:space="preserve"> </w:t>
      </w:r>
      <w:r>
        <w:rPr>
          <w:rtl/>
        </w:rPr>
        <w:t>–</w:t>
      </w:r>
      <w:r>
        <w:rPr>
          <w:rFonts w:hint="cs"/>
          <w:rtl/>
        </w:rPr>
        <w:t xml:space="preserve"> בסך ההכנסות של מוסדות בנקאיים מפעילות שוטפת יובאו, </w:t>
      </w:r>
      <w:r>
        <w:rPr>
          <w:rFonts w:hint="cs"/>
          <w:b/>
          <w:bCs/>
          <w:rtl/>
        </w:rPr>
        <w:t>בין השאר</w:t>
      </w:r>
      <w:r>
        <w:rPr>
          <w:rFonts w:hint="cs"/>
          <w:rtl/>
        </w:rPr>
        <w:t xml:space="preserve">, ההכנסות הבאות: הכנסות מריבית, עמלות, הכנסות מהשקעה בניירות ערך, דיבידנדים מהשקעה בניירות ערך ומחברות בנות. </w:t>
      </w:r>
    </w:p>
    <w:p w:rsidR="007E35C6" w:rsidRDefault="007E35C6" w:rsidP="00030656">
      <w:pPr>
        <w:numPr>
          <w:ilvl w:val="0"/>
          <w:numId w:val="5"/>
        </w:numPr>
        <w:tabs>
          <w:tab w:val="clear" w:pos="1290"/>
          <w:tab w:val="num" w:pos="572"/>
        </w:tabs>
        <w:spacing w:after="240"/>
        <w:ind w:left="32" w:right="0" w:firstLine="0"/>
        <w:rPr>
          <w:rFonts w:hint="cs"/>
        </w:rPr>
      </w:pPr>
      <w:r>
        <w:rPr>
          <w:rFonts w:hint="cs"/>
          <w:b/>
          <w:bCs/>
          <w:u w:val="single"/>
          <w:rtl/>
        </w:rPr>
        <w:t xml:space="preserve">חברות ביטוח  </w:t>
      </w:r>
      <w:r>
        <w:rPr>
          <w:rFonts w:hint="cs"/>
          <w:rtl/>
        </w:rPr>
        <w:t xml:space="preserve">-  בסך ההכנסות של חברות ביטוח מפעילות שוטפת יובאו, </w:t>
      </w:r>
      <w:r>
        <w:rPr>
          <w:rFonts w:hint="cs"/>
          <w:b/>
          <w:bCs/>
          <w:rtl/>
        </w:rPr>
        <w:t>בין השאר</w:t>
      </w:r>
      <w:r>
        <w:rPr>
          <w:rFonts w:hint="cs"/>
          <w:rtl/>
        </w:rPr>
        <w:t xml:space="preserve">, כלל ההכנסות מפרמיות ביטוח (לרבות הכנסות מחידוש ביטוחים). </w:t>
      </w:r>
    </w:p>
    <w:p w:rsidR="007E35C6" w:rsidRDefault="007E35C6" w:rsidP="00030656">
      <w:pPr>
        <w:numPr>
          <w:ilvl w:val="0"/>
          <w:numId w:val="5"/>
        </w:numPr>
        <w:tabs>
          <w:tab w:val="clear" w:pos="1290"/>
          <w:tab w:val="num" w:pos="572"/>
        </w:tabs>
        <w:spacing w:after="240"/>
        <w:ind w:left="32" w:right="0" w:firstLine="0"/>
        <w:rPr>
          <w:rFonts w:hint="cs"/>
        </w:rPr>
      </w:pPr>
      <w:r>
        <w:rPr>
          <w:rFonts w:hint="cs"/>
          <w:b/>
          <w:bCs/>
          <w:u w:val="single"/>
          <w:rtl/>
        </w:rPr>
        <w:t>חברות השקעה</w:t>
      </w:r>
      <w:r>
        <w:rPr>
          <w:rFonts w:hint="cs"/>
          <w:rtl/>
        </w:rPr>
        <w:t xml:space="preserve">  -   בסך ההכנסות של חברות השקעה יובאו, </w:t>
      </w:r>
      <w:r w:rsidRPr="00D474A6">
        <w:rPr>
          <w:rFonts w:hint="cs"/>
          <w:b/>
          <w:bCs/>
          <w:rtl/>
        </w:rPr>
        <w:t>בין השאר</w:t>
      </w:r>
      <w:r>
        <w:rPr>
          <w:rFonts w:hint="cs"/>
          <w:rtl/>
        </w:rPr>
        <w:t xml:space="preserve">, ההכנסות הבאות: הכנסות מעמלות ניהול, דיבידנדים ותקבולים אחרים מן הנכסים המושקעים.         </w:t>
      </w:r>
    </w:p>
    <w:p w:rsidR="00CA314C" w:rsidRDefault="00CA314C" w:rsidP="00CA314C">
      <w:pPr>
        <w:spacing w:after="240"/>
        <w:ind w:left="32"/>
        <w:rPr>
          <w:rFonts w:hint="cs"/>
          <w:b/>
          <w:bCs/>
          <w:sz w:val="26"/>
          <w:szCs w:val="26"/>
          <w:rtl/>
        </w:rPr>
      </w:pPr>
      <w:r w:rsidRPr="00B75A9C">
        <w:rPr>
          <w:rFonts w:hint="cs"/>
          <w:b/>
          <w:bCs/>
          <w:sz w:val="26"/>
          <w:szCs w:val="26"/>
          <w:rtl/>
        </w:rPr>
        <w:t>ה.4.3. חישוב מחזור המכירות ב</w:t>
      </w:r>
      <w:r>
        <w:rPr>
          <w:rFonts w:hint="cs"/>
          <w:b/>
          <w:bCs/>
          <w:sz w:val="26"/>
          <w:szCs w:val="26"/>
          <w:rtl/>
        </w:rPr>
        <w:t>מיזוג של חברה אם עם חברה בת</w:t>
      </w:r>
    </w:p>
    <w:p w:rsidR="00CA314C" w:rsidRPr="002A7327" w:rsidRDefault="00CA314C" w:rsidP="0010727D">
      <w:pPr>
        <w:spacing w:after="240"/>
        <w:ind w:left="32"/>
        <w:rPr>
          <w:rFonts w:hint="cs"/>
          <w:sz w:val="24"/>
          <w:rtl/>
        </w:rPr>
      </w:pPr>
      <w:r w:rsidRPr="002A7327">
        <w:rPr>
          <w:rFonts w:hint="cs"/>
          <w:sz w:val="24"/>
          <w:rtl/>
        </w:rPr>
        <w:t>כאמור לעיל</w:t>
      </w:r>
      <w:r w:rsidRPr="002A7327">
        <w:rPr>
          <w:rFonts w:hint="cs"/>
          <w:sz w:val="26"/>
          <w:szCs w:val="26"/>
          <w:rtl/>
        </w:rPr>
        <w:t xml:space="preserve">, </w:t>
      </w:r>
      <w:r w:rsidRPr="002A7327">
        <w:rPr>
          <w:rFonts w:hint="cs"/>
          <w:rtl/>
        </w:rPr>
        <w:t xml:space="preserve">מדיניותה העקרונית של רשות ההגבלים העסקיים היא, ככלל, שלא לדרוש הגשת הודעת מיזוג, מקום בו אדם המחזיק כדין למעלה ממחצית בכל אחד מסוגי הזכויות בחברה, מגדיל החזקתו בזכות כלשהי לשיעור העולה על 75%. </w:t>
      </w:r>
      <w:r w:rsidR="002A7327" w:rsidRPr="002A7327">
        <w:rPr>
          <w:rFonts w:hint="cs"/>
          <w:sz w:val="24"/>
          <w:rtl/>
        </w:rPr>
        <w:t xml:space="preserve">נשאלת השאלה, כיצד יש לחשב את מחזור המכירות במיזוג של חברה אם עם חברה בת, מקום בו מחזיקה החברה האם למעלה ממחצית </w:t>
      </w:r>
      <w:r w:rsidR="002A7327" w:rsidRPr="002A7327">
        <w:rPr>
          <w:rFonts w:hint="cs"/>
          <w:b/>
          <w:bCs/>
          <w:sz w:val="24"/>
          <w:rtl/>
        </w:rPr>
        <w:t xml:space="preserve">רק בחלק </w:t>
      </w:r>
      <w:r w:rsidR="002A7327" w:rsidRPr="002A7327">
        <w:rPr>
          <w:rFonts w:hint="cs"/>
          <w:sz w:val="24"/>
          <w:rtl/>
        </w:rPr>
        <w:t>מהזכויות בחברה הבת.</w:t>
      </w:r>
      <w:r w:rsidR="002A7327">
        <w:rPr>
          <w:rStyle w:val="FootnoteReference"/>
          <w:sz w:val="24"/>
          <w:rtl/>
        </w:rPr>
        <w:footnoteReference w:id="64"/>
      </w:r>
      <w:r w:rsidR="002A7327" w:rsidRPr="002A7327">
        <w:rPr>
          <w:rFonts w:hint="cs"/>
          <w:sz w:val="24"/>
          <w:rtl/>
        </w:rPr>
        <w:t xml:space="preserve"> </w:t>
      </w:r>
      <w:r w:rsidR="002A7327">
        <w:rPr>
          <w:rFonts w:hint="cs"/>
          <w:sz w:val="24"/>
          <w:rtl/>
        </w:rPr>
        <w:t xml:space="preserve"> הכלל בעניין זה הוא, כי מחזור המכירות של </w:t>
      </w:r>
      <w:r w:rsidR="002A7327" w:rsidRPr="002A7327">
        <w:rPr>
          <w:rFonts w:hint="cs"/>
          <w:b/>
          <w:bCs/>
          <w:sz w:val="24"/>
          <w:rtl/>
        </w:rPr>
        <w:t>החברה הרוכשת</w:t>
      </w:r>
      <w:r w:rsidR="002A7327">
        <w:rPr>
          <w:rFonts w:hint="cs"/>
          <w:sz w:val="24"/>
          <w:rtl/>
        </w:rPr>
        <w:t xml:space="preserve"> יכלול את מחזור המכירות של החברה האם, כל אדם השולט בה או נשלט על ידה וכל מי שנשלט בידי מי מאלה.</w:t>
      </w:r>
      <w:r w:rsidR="002A7327">
        <w:rPr>
          <w:rStyle w:val="FootnoteReference"/>
          <w:sz w:val="24"/>
          <w:rtl/>
        </w:rPr>
        <w:footnoteReference w:id="65"/>
      </w:r>
      <w:r w:rsidR="002A7327">
        <w:rPr>
          <w:rFonts w:hint="cs"/>
          <w:sz w:val="24"/>
          <w:rtl/>
        </w:rPr>
        <w:t xml:space="preserve">  מנתון זה ינוכה המחזור המאוחד של החברה הבת וכל החברות הכפופות לשליטתה (הישירה או העקיפה)</w:t>
      </w:r>
      <w:r w:rsidR="0010727D">
        <w:rPr>
          <w:rFonts w:hint="cs"/>
          <w:sz w:val="24"/>
          <w:rtl/>
        </w:rPr>
        <w:t xml:space="preserve">. מחזור המכירות המאוחד של החברה הבת, וכל החברות הכפופות לשליטתה (הישירה או העקיפה), יובא בחשבון כמחזור המכירות של </w:t>
      </w:r>
      <w:r w:rsidR="0010727D" w:rsidRPr="0010727D">
        <w:rPr>
          <w:rFonts w:hint="cs"/>
          <w:b/>
          <w:bCs/>
          <w:sz w:val="24"/>
          <w:rtl/>
        </w:rPr>
        <w:t>החברה הנרכשת</w:t>
      </w:r>
      <w:r w:rsidR="0010727D">
        <w:rPr>
          <w:rFonts w:hint="cs"/>
          <w:sz w:val="24"/>
          <w:rtl/>
        </w:rPr>
        <w:t xml:space="preserve">. במילים אחרות, בעסקת מיזוג כאמור, תעמוד מן הצד האחד חברת האם עם מחזור מכירות מאוחד בניכוי מחזור המכירות המאוחד של החברה הבת, ומן הצד השני תעמוד חברת הבת, </w:t>
      </w:r>
      <w:r w:rsidR="002F2ABA">
        <w:rPr>
          <w:rFonts w:hint="cs"/>
          <w:sz w:val="24"/>
          <w:rtl/>
        </w:rPr>
        <w:t xml:space="preserve">ומחזור המכירות המאוחד שלה ושל החברות בהן היא שולטת. </w:t>
      </w:r>
      <w:r w:rsidR="0010727D">
        <w:rPr>
          <w:rFonts w:hint="cs"/>
          <w:sz w:val="24"/>
          <w:rtl/>
        </w:rPr>
        <w:t xml:space="preserve">  </w:t>
      </w:r>
      <w:r w:rsidR="004151CA">
        <w:rPr>
          <w:rFonts w:hint="cs"/>
          <w:sz w:val="24"/>
          <w:rtl/>
        </w:rPr>
        <w:t xml:space="preserve"> </w:t>
      </w:r>
    </w:p>
    <w:p w:rsidR="00CA314C" w:rsidRDefault="00CA314C" w:rsidP="00CA314C">
      <w:pPr>
        <w:spacing w:after="240"/>
        <w:ind w:left="32" w:right="1290"/>
        <w:rPr>
          <w:rFonts w:hint="cs"/>
          <w:rtl/>
        </w:rPr>
      </w:pPr>
      <w:r>
        <w:rPr>
          <w:rFonts w:hint="cs"/>
          <w:rtl/>
        </w:rPr>
        <w:t xml:space="preserve"> </w:t>
      </w:r>
    </w:p>
    <w:p w:rsidR="00CA314C" w:rsidRDefault="00CA314C" w:rsidP="00CA314C">
      <w:pPr>
        <w:spacing w:after="240"/>
        <w:ind w:left="32" w:right="1290"/>
        <w:rPr>
          <w:rFonts w:hint="cs"/>
          <w:rtl/>
        </w:rPr>
      </w:pPr>
    </w:p>
    <w:p w:rsidR="007E35C6" w:rsidRPr="00C65204" w:rsidRDefault="007E35C6" w:rsidP="00C65204">
      <w:pPr>
        <w:pStyle w:val="Heading1"/>
        <w:rPr>
          <w:rFonts w:cs="David" w:hint="cs"/>
          <w:rtl/>
          <w:lang w:eastAsia="en-US"/>
        </w:rPr>
      </w:pPr>
      <w:bookmarkStart w:id="20" w:name="_Toc151956816"/>
      <w:r w:rsidRPr="00C65204">
        <w:rPr>
          <w:rFonts w:cs="David" w:hint="cs"/>
          <w:rtl/>
          <w:lang w:eastAsia="en-US"/>
        </w:rPr>
        <w:t>ו. הליך בדיקת המיזוג</w:t>
      </w:r>
      <w:bookmarkEnd w:id="20"/>
      <w:r w:rsidRPr="00C65204">
        <w:rPr>
          <w:rFonts w:cs="David" w:hint="cs"/>
          <w:rtl/>
          <w:lang w:eastAsia="en-US"/>
        </w:rPr>
        <w:t xml:space="preserve"> </w:t>
      </w:r>
    </w:p>
    <w:p w:rsidR="007E35C6" w:rsidRPr="00C65204" w:rsidRDefault="007E35C6" w:rsidP="00C65204">
      <w:pPr>
        <w:pStyle w:val="Heading2"/>
        <w:rPr>
          <w:rFonts w:cs="David" w:hint="cs"/>
          <w:i w:val="0"/>
          <w:iCs w:val="0"/>
          <w:rtl/>
        </w:rPr>
      </w:pPr>
      <w:bookmarkStart w:id="21" w:name="_Toc151956817"/>
      <w:r w:rsidRPr="00C65204">
        <w:rPr>
          <w:rFonts w:cs="David" w:hint="cs"/>
          <w:i w:val="0"/>
          <w:iCs w:val="0"/>
          <w:rtl/>
        </w:rPr>
        <w:t>ו.1</w:t>
      </w:r>
      <w:r w:rsidR="00B75A9C" w:rsidRPr="00C65204">
        <w:rPr>
          <w:rFonts w:cs="David" w:hint="cs"/>
          <w:i w:val="0"/>
          <w:iCs w:val="0"/>
          <w:rtl/>
        </w:rPr>
        <w:t>.</w:t>
      </w:r>
      <w:r w:rsidRPr="00C65204">
        <w:rPr>
          <w:rFonts w:cs="David" w:hint="cs"/>
          <w:i w:val="0"/>
          <w:iCs w:val="0"/>
          <w:rtl/>
        </w:rPr>
        <w:t xml:space="preserve"> כללי </w:t>
      </w:r>
      <w:r w:rsidRPr="00C65204">
        <w:rPr>
          <w:rFonts w:cs="David"/>
          <w:i w:val="0"/>
          <w:iCs w:val="0"/>
          <w:rtl/>
        </w:rPr>
        <w:t>–</w:t>
      </w:r>
      <w:r w:rsidRPr="00C65204">
        <w:rPr>
          <w:rFonts w:cs="David" w:hint="cs"/>
          <w:i w:val="0"/>
          <w:iCs w:val="0"/>
          <w:rtl/>
        </w:rPr>
        <w:t xml:space="preserve"> כיצד נבדקים מיזוגים ברשות?</w:t>
      </w:r>
      <w:bookmarkEnd w:id="21"/>
      <w:r w:rsidRPr="00C65204">
        <w:rPr>
          <w:rFonts w:cs="David" w:hint="cs"/>
          <w:i w:val="0"/>
          <w:iCs w:val="0"/>
          <w:rtl/>
        </w:rPr>
        <w:t xml:space="preserve"> </w:t>
      </w:r>
    </w:p>
    <w:p w:rsidR="007E35C6" w:rsidRDefault="007E35C6" w:rsidP="00B52561">
      <w:pPr>
        <w:spacing w:after="240"/>
        <w:ind w:left="32"/>
        <w:rPr>
          <w:rFonts w:hint="cs"/>
          <w:rtl/>
        </w:rPr>
      </w:pPr>
      <w:r>
        <w:rPr>
          <w:rFonts w:hint="cs"/>
          <w:rtl/>
        </w:rPr>
        <w:t xml:space="preserve">צדדים לעסקאות מיזוג שמתקיימת בהן אחת או יותר מן החלופות הקבועות בסעיף 17 (א) לחוק חייבים לדווח על העסקה לממונה ולהמתין לקבלת </w:t>
      </w:r>
      <w:r w:rsidR="000508D7">
        <w:rPr>
          <w:rFonts w:hint="cs"/>
          <w:rtl/>
        </w:rPr>
        <w:t>אישורה</w:t>
      </w:r>
      <w:r>
        <w:rPr>
          <w:rFonts w:hint="cs"/>
          <w:rtl/>
        </w:rPr>
        <w:t xml:space="preserve">. </w:t>
      </w:r>
    </w:p>
    <w:p w:rsidR="007E35C6" w:rsidRDefault="007E35C6" w:rsidP="00B52561">
      <w:pPr>
        <w:spacing w:after="240"/>
        <w:ind w:left="32"/>
        <w:rPr>
          <w:rFonts w:hint="cs"/>
          <w:rtl/>
        </w:rPr>
      </w:pPr>
      <w:r>
        <w:rPr>
          <w:rFonts w:hint="cs"/>
          <w:rtl/>
        </w:rPr>
        <w:t xml:space="preserve">הדיווח על עסקאות מיזוג נעשה על גבי טופס בו מפרטים הצדדים מידע בסיסי שמשמש את הרשות לשם </w:t>
      </w:r>
      <w:r w:rsidR="00D474A6">
        <w:rPr>
          <w:rFonts w:hint="cs"/>
          <w:rtl/>
        </w:rPr>
        <w:t xml:space="preserve">התחלת הבדיקה בדבר </w:t>
      </w:r>
      <w:r>
        <w:rPr>
          <w:rFonts w:hint="cs"/>
          <w:rtl/>
        </w:rPr>
        <w:t xml:space="preserve">ההשפעות התחרותיות של המיזוג ("טופס הודעת מיזוג"). בעבר נכללו בטופס זה נתונים מעטים בלבד. כתוצאה מכך, נאלצו כלכלני הרשות לעשות שימוש נרחב </w:t>
      </w:r>
      <w:r w:rsidR="000508D7">
        <w:rPr>
          <w:rFonts w:hint="cs"/>
          <w:rtl/>
        </w:rPr>
        <w:t>ומכביד</w:t>
      </w:r>
      <w:r>
        <w:rPr>
          <w:rFonts w:hint="cs"/>
          <w:rtl/>
        </w:rPr>
        <w:t xml:space="preserve"> בדרישות נתונים</w:t>
      </w:r>
      <w:r w:rsidR="00B75A9C">
        <w:rPr>
          <w:rFonts w:hint="cs"/>
          <w:rtl/>
        </w:rPr>
        <w:t>,</w:t>
      </w:r>
      <w:r>
        <w:rPr>
          <w:rFonts w:hint="cs"/>
          <w:rtl/>
        </w:rPr>
        <w:t xml:space="preserve"> דבר שהכביד על הצדדים למיזוג ויצר עיכוב בהליך אישור המיזוגים. </w:t>
      </w:r>
    </w:p>
    <w:p w:rsidR="007E35C6" w:rsidRDefault="007E35C6" w:rsidP="00B52561">
      <w:pPr>
        <w:spacing w:after="240"/>
        <w:ind w:left="32"/>
        <w:rPr>
          <w:rFonts w:hint="cs"/>
          <w:rtl/>
        </w:rPr>
      </w:pPr>
      <w:r>
        <w:rPr>
          <w:rFonts w:hint="cs"/>
          <w:rtl/>
        </w:rPr>
        <w:t>לכן</w:t>
      </w:r>
      <w:r w:rsidR="00B75A9C">
        <w:rPr>
          <w:rFonts w:hint="cs"/>
          <w:rtl/>
        </w:rPr>
        <w:t>,</w:t>
      </w:r>
      <w:r>
        <w:rPr>
          <w:rFonts w:hint="cs"/>
          <w:rtl/>
        </w:rPr>
        <w:t xml:space="preserve"> יזמה הרשות שינוי במתכונת הדיווח על עסקאות מיזוג, לפיו </w:t>
      </w:r>
      <w:r w:rsidR="00D474A6">
        <w:rPr>
          <w:rFonts w:hint="cs"/>
          <w:rtl/>
        </w:rPr>
        <w:t>ה</w:t>
      </w:r>
      <w:r>
        <w:rPr>
          <w:rFonts w:hint="cs"/>
          <w:rtl/>
        </w:rPr>
        <w:t xml:space="preserve">ורחב </w:t>
      </w:r>
      <w:r w:rsidR="00D474A6">
        <w:rPr>
          <w:rFonts w:hint="cs"/>
          <w:rtl/>
        </w:rPr>
        <w:t xml:space="preserve">במידת מה </w:t>
      </w:r>
      <w:r>
        <w:rPr>
          <w:rFonts w:hint="cs"/>
          <w:rtl/>
        </w:rPr>
        <w:t xml:space="preserve">היקף הדיווח </w:t>
      </w:r>
      <w:r w:rsidR="000508D7">
        <w:rPr>
          <w:rFonts w:hint="cs"/>
          <w:rtl/>
        </w:rPr>
        <w:t xml:space="preserve">הראשוני </w:t>
      </w:r>
      <w:r>
        <w:rPr>
          <w:rFonts w:hint="cs"/>
          <w:rtl/>
        </w:rPr>
        <w:t xml:space="preserve">שנדרשים הצדדים לספק במסגרת הודעת המיזוג, תוך מתן אפשרות למסור דיווח תמציתי יחסית בעסקאות מיזוג </w:t>
      </w:r>
      <w:r w:rsidR="00D474A6">
        <w:rPr>
          <w:rFonts w:hint="cs"/>
          <w:rtl/>
        </w:rPr>
        <w:t>מסוימות.</w:t>
      </w:r>
      <w:r>
        <w:rPr>
          <w:rStyle w:val="FootnoteReference"/>
          <w:rtl/>
        </w:rPr>
        <w:footnoteReference w:id="66"/>
      </w:r>
      <w:r>
        <w:rPr>
          <w:rFonts w:hint="cs"/>
          <w:rtl/>
        </w:rPr>
        <w:t xml:space="preserve"> </w:t>
      </w:r>
      <w:r w:rsidR="00D474A6">
        <w:rPr>
          <w:rFonts w:hint="cs"/>
          <w:rtl/>
        </w:rPr>
        <w:t xml:space="preserve">תכליתו של שינוי זה היא </w:t>
      </w:r>
      <w:r>
        <w:rPr>
          <w:rFonts w:hint="cs"/>
          <w:rtl/>
        </w:rPr>
        <w:t>למקד</w:t>
      </w:r>
      <w:r w:rsidR="00D474A6">
        <w:rPr>
          <w:rFonts w:hint="cs"/>
          <w:rtl/>
        </w:rPr>
        <w:t>, ל</w:t>
      </w:r>
      <w:r>
        <w:rPr>
          <w:rFonts w:hint="cs"/>
          <w:rtl/>
        </w:rPr>
        <w:t>ייעל ולהאיץ את הליך בדיקת המיזוגים ברשות</w:t>
      </w:r>
      <w:r w:rsidR="00D474A6">
        <w:rPr>
          <w:rFonts w:hint="cs"/>
          <w:rtl/>
        </w:rPr>
        <w:t>.</w:t>
      </w:r>
      <w:r w:rsidR="00B75A9C">
        <w:rPr>
          <w:rStyle w:val="FootnoteReference"/>
          <w:rtl/>
        </w:rPr>
        <w:footnoteReference w:id="67"/>
      </w:r>
      <w:r w:rsidR="00D474A6">
        <w:rPr>
          <w:rFonts w:hint="cs"/>
          <w:rtl/>
        </w:rPr>
        <w:t xml:space="preserve"> </w:t>
      </w:r>
    </w:p>
    <w:p w:rsidR="007E35C6" w:rsidRDefault="00D474A6" w:rsidP="00B52561">
      <w:pPr>
        <w:spacing w:after="240"/>
        <w:ind w:left="32"/>
        <w:rPr>
          <w:rFonts w:hint="cs"/>
          <w:rtl/>
        </w:rPr>
      </w:pPr>
      <w:r>
        <w:rPr>
          <w:rFonts w:hint="cs"/>
          <w:rtl/>
        </w:rPr>
        <w:t xml:space="preserve">עם קבלתן של הודעות המיזוג הן עוברות הערכה ראשונית </w:t>
      </w:r>
      <w:r w:rsidR="00B8307D">
        <w:rPr>
          <w:rFonts w:hint="cs"/>
          <w:rtl/>
        </w:rPr>
        <w:t xml:space="preserve">במחלקה הכלכלית של הרשות </w:t>
      </w:r>
      <w:r>
        <w:rPr>
          <w:rFonts w:hint="cs"/>
          <w:rtl/>
        </w:rPr>
        <w:t>ומועברות לטיפול ה</w:t>
      </w:r>
      <w:r w:rsidR="00B8307D">
        <w:rPr>
          <w:rFonts w:hint="cs"/>
          <w:rtl/>
        </w:rPr>
        <w:t xml:space="preserve">כלכלן הרלוונטי. </w:t>
      </w:r>
      <w:r>
        <w:rPr>
          <w:rFonts w:hint="cs"/>
          <w:rtl/>
        </w:rPr>
        <w:t xml:space="preserve"> בסיום הליך הבדיקה, </w:t>
      </w:r>
      <w:r w:rsidR="00B8307D">
        <w:rPr>
          <w:rFonts w:hint="cs"/>
          <w:rtl/>
        </w:rPr>
        <w:t xml:space="preserve">מועברת חוות הדעת הכלכלית לממונה בצירוף המלצה </w:t>
      </w:r>
      <w:r w:rsidR="007E35C6">
        <w:rPr>
          <w:rFonts w:hint="cs"/>
          <w:rtl/>
        </w:rPr>
        <w:t xml:space="preserve">אם לאשר את המיזוג, להתנותו בתנאים או להתנגד לו. </w:t>
      </w:r>
    </w:p>
    <w:p w:rsidR="007E35C6" w:rsidRDefault="007E35C6" w:rsidP="00B52561">
      <w:pPr>
        <w:spacing w:after="240"/>
        <w:ind w:left="32"/>
        <w:rPr>
          <w:rFonts w:hint="cs"/>
          <w:rtl/>
        </w:rPr>
      </w:pPr>
      <w:r>
        <w:rPr>
          <w:rFonts w:hint="cs"/>
          <w:rtl/>
        </w:rPr>
        <w:t>עם סיום הבדיקה</w:t>
      </w:r>
      <w:r w:rsidR="000508D7">
        <w:rPr>
          <w:rFonts w:hint="cs"/>
          <w:rtl/>
        </w:rPr>
        <w:t>, או בסמוך לסיום,</w:t>
      </w:r>
      <w:r>
        <w:rPr>
          <w:rFonts w:hint="cs"/>
          <w:rtl/>
        </w:rPr>
        <w:t xml:space="preserve"> </w:t>
      </w:r>
      <w:r w:rsidR="000508D7">
        <w:rPr>
          <w:rFonts w:hint="cs"/>
          <w:rtl/>
        </w:rPr>
        <w:t xml:space="preserve">נועצת </w:t>
      </w:r>
      <w:r>
        <w:rPr>
          <w:rFonts w:hint="cs"/>
          <w:rtl/>
        </w:rPr>
        <w:t xml:space="preserve">הממונה </w:t>
      </w:r>
      <w:r w:rsidR="00230ED6">
        <w:rPr>
          <w:rFonts w:hint="cs"/>
          <w:rtl/>
        </w:rPr>
        <w:t>ב</w:t>
      </w:r>
      <w:r>
        <w:rPr>
          <w:rFonts w:hint="cs"/>
          <w:rtl/>
        </w:rPr>
        <w:t>ועדת הפטורים והמיזוגים</w:t>
      </w:r>
      <w:r w:rsidR="003560FC">
        <w:rPr>
          <w:rFonts w:hint="cs"/>
          <w:rtl/>
        </w:rPr>
        <w:t>.</w:t>
      </w:r>
      <w:r>
        <w:rPr>
          <w:rStyle w:val="FootnoteReference"/>
          <w:rtl/>
        </w:rPr>
        <w:footnoteReference w:id="68"/>
      </w:r>
      <w:r>
        <w:rPr>
          <w:rFonts w:hint="cs"/>
          <w:rtl/>
        </w:rPr>
        <w:t xml:space="preserve"> </w:t>
      </w:r>
      <w:r w:rsidR="000508D7">
        <w:rPr>
          <w:rFonts w:hint="cs"/>
          <w:rtl/>
        </w:rPr>
        <w:t xml:space="preserve"> </w:t>
      </w:r>
      <w:r>
        <w:rPr>
          <w:rFonts w:hint="cs"/>
          <w:rtl/>
        </w:rPr>
        <w:t>לאחר נטילת עצתה של הוועדה</w:t>
      </w:r>
      <w:r w:rsidR="000508D7">
        <w:rPr>
          <w:rFonts w:hint="cs"/>
          <w:rtl/>
        </w:rPr>
        <w:t>,</w:t>
      </w:r>
      <w:r>
        <w:rPr>
          <w:rFonts w:hint="cs"/>
          <w:rtl/>
        </w:rPr>
        <w:t xml:space="preserve"> מקבל</w:t>
      </w:r>
      <w:r w:rsidR="000508D7">
        <w:rPr>
          <w:rFonts w:hint="cs"/>
          <w:rtl/>
        </w:rPr>
        <w:t>ת</w:t>
      </w:r>
      <w:r>
        <w:rPr>
          <w:rFonts w:hint="cs"/>
          <w:rtl/>
        </w:rPr>
        <w:t xml:space="preserve"> הממונה את החלטת</w:t>
      </w:r>
      <w:r w:rsidR="000508D7">
        <w:rPr>
          <w:rFonts w:hint="cs"/>
          <w:rtl/>
        </w:rPr>
        <w:t>ה</w:t>
      </w:r>
      <w:r>
        <w:rPr>
          <w:rFonts w:hint="cs"/>
          <w:rtl/>
        </w:rPr>
        <w:t xml:space="preserve"> במיזוג</w:t>
      </w:r>
      <w:r w:rsidR="000508D7">
        <w:rPr>
          <w:rFonts w:hint="cs"/>
          <w:rtl/>
        </w:rPr>
        <w:t>,</w:t>
      </w:r>
      <w:r>
        <w:rPr>
          <w:rFonts w:hint="cs"/>
          <w:rtl/>
        </w:rPr>
        <w:t xml:space="preserve"> וה</w:t>
      </w:r>
      <w:r w:rsidR="000508D7">
        <w:rPr>
          <w:rFonts w:hint="cs"/>
          <w:rtl/>
        </w:rPr>
        <w:t>י</w:t>
      </w:r>
      <w:r>
        <w:rPr>
          <w:rFonts w:hint="cs"/>
          <w:rtl/>
        </w:rPr>
        <w:t>א רשאי</w:t>
      </w:r>
      <w:r w:rsidR="000508D7">
        <w:rPr>
          <w:rFonts w:hint="cs"/>
          <w:rtl/>
        </w:rPr>
        <w:t>ת</w:t>
      </w:r>
      <w:r>
        <w:rPr>
          <w:rFonts w:hint="cs"/>
          <w:rtl/>
        </w:rPr>
        <w:t xml:space="preserve"> לאשר את המיזוג, לקבוע תנאים לאישור</w:t>
      </w:r>
      <w:r w:rsidR="000508D7">
        <w:rPr>
          <w:rFonts w:hint="cs"/>
          <w:rtl/>
        </w:rPr>
        <w:t>ו</w:t>
      </w:r>
      <w:r>
        <w:rPr>
          <w:rFonts w:hint="cs"/>
          <w:rtl/>
        </w:rPr>
        <w:t xml:space="preserve"> או להתנגד ל</w:t>
      </w:r>
      <w:r w:rsidR="000508D7">
        <w:rPr>
          <w:rFonts w:hint="cs"/>
          <w:rtl/>
        </w:rPr>
        <w:t>ו,</w:t>
      </w:r>
      <w:r>
        <w:rPr>
          <w:rFonts w:hint="cs"/>
          <w:rtl/>
        </w:rPr>
        <w:t xml:space="preserve"> אם לדעת</w:t>
      </w:r>
      <w:r w:rsidR="000508D7">
        <w:rPr>
          <w:rFonts w:hint="cs"/>
          <w:rtl/>
        </w:rPr>
        <w:t>ה</w:t>
      </w:r>
      <w:r>
        <w:rPr>
          <w:rFonts w:hint="cs"/>
          <w:rtl/>
        </w:rPr>
        <w:t xml:space="preserve"> מקים המיזוג חשש סביר לפגיעה בתחרות שאינו מוצא את פתרונו בתנאים מתאימים. החלטת הממונה מומצאת לצדדים למיזוג ומתפרסמת ברשומות</w:t>
      </w:r>
      <w:r w:rsidR="00230ED6">
        <w:rPr>
          <w:rFonts w:hint="cs"/>
          <w:rtl/>
        </w:rPr>
        <w:t xml:space="preserve">, </w:t>
      </w:r>
      <w:r>
        <w:rPr>
          <w:rFonts w:hint="cs"/>
          <w:rtl/>
        </w:rPr>
        <w:t xml:space="preserve">בשני עיתונים יומיים ובאתר האינטרנט של רשות ההגבלים העסקיים. </w:t>
      </w:r>
    </w:p>
    <w:p w:rsidR="007E35C6" w:rsidRPr="00C65204" w:rsidRDefault="007E35C6" w:rsidP="00C65204">
      <w:pPr>
        <w:pStyle w:val="Heading2"/>
        <w:rPr>
          <w:rFonts w:cs="David" w:hint="cs"/>
          <w:i w:val="0"/>
          <w:iCs w:val="0"/>
          <w:rtl/>
        </w:rPr>
      </w:pPr>
      <w:bookmarkStart w:id="22" w:name="_Toc151956818"/>
      <w:r w:rsidRPr="00C65204">
        <w:rPr>
          <w:rFonts w:cs="David" w:hint="cs"/>
          <w:i w:val="0"/>
          <w:iCs w:val="0"/>
          <w:rtl/>
        </w:rPr>
        <w:t>ו.2</w:t>
      </w:r>
      <w:r w:rsidR="00B75A9C" w:rsidRPr="00C65204">
        <w:rPr>
          <w:rFonts w:cs="David" w:hint="cs"/>
          <w:i w:val="0"/>
          <w:iCs w:val="0"/>
          <w:rtl/>
        </w:rPr>
        <w:t>.</w:t>
      </w:r>
      <w:r w:rsidRPr="00C65204">
        <w:rPr>
          <w:rFonts w:cs="David" w:hint="cs"/>
          <w:i w:val="0"/>
          <w:iCs w:val="0"/>
          <w:rtl/>
        </w:rPr>
        <w:t xml:space="preserve"> מי צריך להגיש את הודעות המיזוג?</w:t>
      </w:r>
      <w:bookmarkEnd w:id="22"/>
      <w:r w:rsidRPr="00C65204">
        <w:rPr>
          <w:rFonts w:cs="David" w:hint="cs"/>
          <w:i w:val="0"/>
          <w:iCs w:val="0"/>
          <w:rtl/>
        </w:rPr>
        <w:t xml:space="preserve"> </w:t>
      </w:r>
    </w:p>
    <w:p w:rsidR="007E35C6" w:rsidRDefault="007E35C6" w:rsidP="00B52561">
      <w:pPr>
        <w:spacing w:after="240"/>
        <w:ind w:left="32"/>
        <w:rPr>
          <w:rFonts w:hint="cs"/>
          <w:rtl/>
        </w:rPr>
      </w:pPr>
      <w:r>
        <w:rPr>
          <w:rFonts w:hint="cs"/>
          <w:rtl/>
        </w:rPr>
        <w:t xml:space="preserve">סעיף 20 (א) לחוק קובע (ההדגשה הוספה): </w:t>
      </w:r>
    </w:p>
    <w:p w:rsidR="007E35C6" w:rsidRDefault="007E35C6" w:rsidP="00B52561">
      <w:pPr>
        <w:pStyle w:val="-"/>
        <w:rPr>
          <w:rFonts w:hint="cs"/>
          <w:rtl/>
        </w:rPr>
      </w:pPr>
      <w:r>
        <w:rPr>
          <w:rFonts w:hint="cs"/>
          <w:rtl/>
        </w:rPr>
        <w:t>"</w:t>
      </w:r>
      <w:r>
        <w:rPr>
          <w:rFonts w:hint="cs"/>
          <w:b/>
          <w:bCs/>
          <w:rtl/>
        </w:rPr>
        <w:t>כל אחת מהחברות</w:t>
      </w:r>
      <w:r>
        <w:rPr>
          <w:rFonts w:hint="cs"/>
          <w:rtl/>
        </w:rPr>
        <w:t xml:space="preserve"> שבכוונתן להתמזג תודיע על כך לממונה בהודעה שפרטיה ייקבעו בתקנות". </w:t>
      </w:r>
    </w:p>
    <w:p w:rsidR="007E35C6" w:rsidRDefault="007E35C6" w:rsidP="00B52561">
      <w:pPr>
        <w:spacing w:after="240"/>
        <w:ind w:left="32"/>
        <w:rPr>
          <w:b/>
          <w:bCs/>
          <w:sz w:val="24"/>
          <w:rtl/>
        </w:rPr>
      </w:pPr>
      <w:r>
        <w:rPr>
          <w:rFonts w:hint="cs"/>
          <w:sz w:val="24"/>
          <w:rtl/>
        </w:rPr>
        <w:t xml:space="preserve">הנה כי כן, חובת מתן ההודעה לממונה חלה על </w:t>
      </w:r>
      <w:r w:rsidRPr="00B8307D">
        <w:rPr>
          <w:rFonts w:hint="cs"/>
          <w:b/>
          <w:bCs/>
          <w:sz w:val="24"/>
          <w:u w:val="single"/>
          <w:rtl/>
        </w:rPr>
        <w:t>כל</w:t>
      </w:r>
      <w:r>
        <w:rPr>
          <w:rFonts w:hint="cs"/>
          <w:b/>
          <w:bCs/>
          <w:sz w:val="24"/>
          <w:rtl/>
        </w:rPr>
        <w:t xml:space="preserve"> </w:t>
      </w:r>
      <w:r w:rsidRPr="00B8307D">
        <w:rPr>
          <w:rFonts w:hint="cs"/>
          <w:sz w:val="24"/>
          <w:rtl/>
        </w:rPr>
        <w:t>החברות המתמזגות</w:t>
      </w:r>
      <w:r>
        <w:rPr>
          <w:rFonts w:hint="cs"/>
          <w:b/>
          <w:bCs/>
          <w:sz w:val="24"/>
          <w:rtl/>
        </w:rPr>
        <w:t xml:space="preserve"> ועל החברות </w:t>
      </w:r>
      <w:r w:rsidRPr="00B8307D">
        <w:rPr>
          <w:rFonts w:hint="cs"/>
          <w:b/>
          <w:bCs/>
          <w:sz w:val="24"/>
          <w:u w:val="single"/>
          <w:rtl/>
        </w:rPr>
        <w:t>עצמן</w:t>
      </w:r>
      <w:r>
        <w:rPr>
          <w:rFonts w:hint="cs"/>
          <w:b/>
          <w:bCs/>
          <w:sz w:val="24"/>
          <w:rtl/>
        </w:rPr>
        <w:t>.</w:t>
      </w:r>
      <w:r>
        <w:rPr>
          <w:rStyle w:val="FootnoteReference"/>
          <w:sz w:val="24"/>
        </w:rPr>
        <w:footnoteReference w:id="69"/>
      </w:r>
      <w:r>
        <w:rPr>
          <w:rFonts w:hint="cs"/>
          <w:b/>
          <w:bCs/>
          <w:sz w:val="24"/>
          <w:rtl/>
        </w:rPr>
        <w:t xml:space="preserve"> </w:t>
      </w:r>
    </w:p>
    <w:p w:rsidR="007E35C6" w:rsidRDefault="007E35C6" w:rsidP="00B52561">
      <w:pPr>
        <w:spacing w:after="240"/>
        <w:ind w:left="32"/>
        <w:rPr>
          <w:rFonts w:hint="cs"/>
          <w:sz w:val="24"/>
          <w:rtl/>
        </w:rPr>
      </w:pPr>
      <w:r>
        <w:rPr>
          <w:rFonts w:hint="cs"/>
          <w:sz w:val="24"/>
          <w:rtl/>
        </w:rPr>
        <w:t>הגיונה של ההוראה ברור</w:t>
      </w:r>
      <w:r w:rsidR="00124F3E">
        <w:rPr>
          <w:rFonts w:hint="cs"/>
          <w:sz w:val="24"/>
          <w:rtl/>
        </w:rPr>
        <w:t xml:space="preserve"> </w:t>
      </w:r>
      <w:r w:rsidR="00124F3E">
        <w:rPr>
          <w:sz w:val="24"/>
          <w:rtl/>
        </w:rPr>
        <w:t>–</w:t>
      </w:r>
      <w:r>
        <w:rPr>
          <w:rFonts w:hint="cs"/>
          <w:sz w:val="24"/>
          <w:rtl/>
        </w:rPr>
        <w:t xml:space="preserve"> </w:t>
      </w:r>
      <w:r w:rsidR="00124F3E">
        <w:rPr>
          <w:rFonts w:hint="cs"/>
          <w:sz w:val="24"/>
          <w:rtl/>
        </w:rPr>
        <w:t>ב</w:t>
      </w:r>
      <w:r>
        <w:rPr>
          <w:rFonts w:hint="cs"/>
          <w:sz w:val="24"/>
          <w:rtl/>
        </w:rPr>
        <w:t xml:space="preserve">כדי </w:t>
      </w:r>
      <w:r w:rsidR="005F5CE2">
        <w:rPr>
          <w:rFonts w:hint="cs"/>
          <w:sz w:val="24"/>
          <w:rtl/>
        </w:rPr>
        <w:t>ש</w:t>
      </w:r>
      <w:r>
        <w:rPr>
          <w:rFonts w:hint="cs"/>
          <w:sz w:val="24"/>
          <w:rtl/>
        </w:rPr>
        <w:t xml:space="preserve">הממונה </w:t>
      </w:r>
      <w:r w:rsidR="00124F3E">
        <w:rPr>
          <w:rFonts w:hint="cs"/>
          <w:sz w:val="24"/>
          <w:rtl/>
        </w:rPr>
        <w:t xml:space="preserve">תוכל </w:t>
      </w:r>
      <w:r>
        <w:rPr>
          <w:rFonts w:hint="cs"/>
          <w:sz w:val="24"/>
          <w:rtl/>
        </w:rPr>
        <w:t xml:space="preserve">לפתוח בבדיקה אפקטיבית של עסקת המיזוג, נדרש שיימסר מידע ראשוני מאת כל הצדדים הרלבנטיים לעסקה. לכן גם קובע סעיף 20 (ב) לחוק, כי מניין הימים למתן החלטת הממונה במיזוג יחל רק לאחר </w:t>
      </w:r>
      <w:r w:rsidR="00124F3E">
        <w:rPr>
          <w:rFonts w:hint="cs"/>
          <w:sz w:val="24"/>
          <w:rtl/>
        </w:rPr>
        <w:t xml:space="preserve">שקיבלה </w:t>
      </w:r>
      <w:r>
        <w:rPr>
          <w:rFonts w:hint="cs"/>
          <w:sz w:val="24"/>
          <w:rtl/>
        </w:rPr>
        <w:t xml:space="preserve">"...הודעת מיזוג </w:t>
      </w:r>
      <w:r>
        <w:rPr>
          <w:rFonts w:hint="cs"/>
          <w:b/>
          <w:bCs/>
          <w:sz w:val="24"/>
          <w:rtl/>
        </w:rPr>
        <w:t>מאת כל החברות המבקשות להתמזג</w:t>
      </w:r>
      <w:r>
        <w:rPr>
          <w:rFonts w:hint="cs"/>
          <w:sz w:val="24"/>
          <w:rtl/>
        </w:rPr>
        <w:t xml:space="preserve">..."(ההדגשה הוספה).   </w:t>
      </w:r>
    </w:p>
    <w:p w:rsidR="007E35C6" w:rsidRDefault="007E35C6" w:rsidP="00B52561">
      <w:pPr>
        <w:pStyle w:val="BodyText2"/>
        <w:tabs>
          <w:tab w:val="clear" w:pos="926"/>
        </w:tabs>
        <w:spacing w:after="240"/>
        <w:ind w:left="32"/>
        <w:rPr>
          <w:rFonts w:hint="cs"/>
          <w:rtl/>
          <w:lang w:eastAsia="he-IL"/>
        </w:rPr>
      </w:pPr>
      <w:r>
        <w:rPr>
          <w:rFonts w:hint="cs"/>
          <w:sz w:val="24"/>
          <w:szCs w:val="24"/>
          <w:rtl/>
          <w:lang w:eastAsia="he-IL"/>
        </w:rPr>
        <w:t>על אף האמור לעיל, במקרים חריגים ועל בסיס פנייה פרטנית מראש</w:t>
      </w:r>
      <w:r w:rsidR="00124F3E">
        <w:rPr>
          <w:rFonts w:hint="cs"/>
          <w:sz w:val="24"/>
          <w:szCs w:val="24"/>
          <w:rtl/>
          <w:lang w:eastAsia="he-IL"/>
        </w:rPr>
        <w:t>,</w:t>
      </w:r>
      <w:r>
        <w:rPr>
          <w:rFonts w:hint="cs"/>
          <w:sz w:val="24"/>
          <w:szCs w:val="24"/>
          <w:rtl/>
          <w:lang w:eastAsia="he-IL"/>
        </w:rPr>
        <w:t xml:space="preserve"> נכו</w:t>
      </w:r>
      <w:r w:rsidR="00124F3E">
        <w:rPr>
          <w:rFonts w:hint="cs"/>
          <w:sz w:val="24"/>
          <w:szCs w:val="24"/>
          <w:rtl/>
          <w:lang w:eastAsia="he-IL"/>
        </w:rPr>
        <w:t>נה</w:t>
      </w:r>
      <w:r>
        <w:rPr>
          <w:rFonts w:hint="cs"/>
          <w:sz w:val="24"/>
          <w:szCs w:val="24"/>
          <w:rtl/>
          <w:lang w:eastAsia="he-IL"/>
        </w:rPr>
        <w:t xml:space="preserve"> הממונה לקיים בדיקה של עסקת מיזוג גם על יסוד הודעה שנמסרה מצד אחד בלבד למיזוג. דוגמה למקרה חריג כזה היא במיזוג הנעשה על דרך של הצעת רכש עוינת, כאשר הנהלת חברת המטרה מתנגדת למיזוג ומשהה במכוון את מסירת הודעות המיזוג באופן שעלול לסכל את הצעת הרכש. במקרה כזה, עשוי</w:t>
      </w:r>
      <w:r w:rsidR="00124F3E">
        <w:rPr>
          <w:rFonts w:hint="cs"/>
          <w:sz w:val="24"/>
          <w:szCs w:val="24"/>
          <w:rtl/>
          <w:lang w:eastAsia="he-IL"/>
        </w:rPr>
        <w:t>ה</w:t>
      </w:r>
      <w:r>
        <w:rPr>
          <w:rFonts w:hint="cs"/>
          <w:sz w:val="24"/>
          <w:szCs w:val="24"/>
          <w:rtl/>
          <w:lang w:eastAsia="he-IL"/>
        </w:rPr>
        <w:t xml:space="preserve"> הממונה להסתפק במתן הודעה מצד הרוכש ולהשתמש בסמכות דרישת הנתונים הנתונה </w:t>
      </w:r>
      <w:r w:rsidR="005F5CE2">
        <w:rPr>
          <w:rFonts w:hint="cs"/>
          <w:sz w:val="24"/>
          <w:szCs w:val="24"/>
          <w:rtl/>
          <w:lang w:eastAsia="he-IL"/>
        </w:rPr>
        <w:t xml:space="preserve">לה </w:t>
      </w:r>
      <w:r>
        <w:rPr>
          <w:rFonts w:hint="cs"/>
          <w:sz w:val="24"/>
          <w:szCs w:val="24"/>
          <w:rtl/>
          <w:lang w:eastAsia="he-IL"/>
        </w:rPr>
        <w:t>בסעיף 46 (ב) לחוק, כדי להשיג את המידע הרלבנטי מחברת המטרה. עם זאת, מניין הימים הקבוע בחוק למתן החלטת הממונה במיזוג לא יחל עם קבלת הודעת המיזוג מצד הרוכש, אלא רק מיום שתתקבל הודעת מיזוג גם מצד חברת המטרה (אם לא ניתנה עד אז החלטת הממונה)</w:t>
      </w:r>
      <w:r>
        <w:rPr>
          <w:rFonts w:hint="cs"/>
          <w:rtl/>
          <w:lang w:eastAsia="he-IL"/>
        </w:rPr>
        <w:t xml:space="preserve">.  </w:t>
      </w:r>
    </w:p>
    <w:p w:rsidR="007E35C6" w:rsidRDefault="007E35C6" w:rsidP="00B52561">
      <w:pPr>
        <w:pStyle w:val="BodyText2"/>
        <w:tabs>
          <w:tab w:val="clear" w:pos="926"/>
        </w:tabs>
        <w:spacing w:after="240"/>
        <w:ind w:left="32"/>
        <w:rPr>
          <w:rFonts w:hint="cs"/>
          <w:rtl/>
          <w:lang w:eastAsia="he-IL"/>
        </w:rPr>
      </w:pPr>
      <w:r>
        <w:rPr>
          <w:rFonts w:hint="cs"/>
          <w:rtl/>
          <w:lang w:eastAsia="he-IL"/>
        </w:rPr>
        <w:t xml:space="preserve"> </w:t>
      </w:r>
    </w:p>
    <w:p w:rsidR="007E35C6" w:rsidRPr="00C65204" w:rsidRDefault="007E35C6" w:rsidP="00C65204">
      <w:pPr>
        <w:pStyle w:val="Heading2"/>
        <w:rPr>
          <w:rFonts w:cs="David" w:hint="cs"/>
          <w:i w:val="0"/>
          <w:iCs w:val="0"/>
          <w:rtl/>
        </w:rPr>
      </w:pPr>
      <w:bookmarkStart w:id="23" w:name="_Toc151956819"/>
      <w:r w:rsidRPr="00C65204">
        <w:rPr>
          <w:rFonts w:cs="David" w:hint="cs"/>
          <w:i w:val="0"/>
          <w:iCs w:val="0"/>
          <w:rtl/>
        </w:rPr>
        <w:t>ו.3</w:t>
      </w:r>
      <w:r w:rsidR="005F5CE2" w:rsidRPr="00C65204">
        <w:rPr>
          <w:rFonts w:cs="David" w:hint="cs"/>
          <w:i w:val="0"/>
          <w:iCs w:val="0"/>
          <w:rtl/>
        </w:rPr>
        <w:t>.</w:t>
      </w:r>
      <w:r w:rsidRPr="00C65204">
        <w:rPr>
          <w:rFonts w:cs="David" w:hint="cs"/>
          <w:i w:val="0"/>
          <w:iCs w:val="0"/>
          <w:rtl/>
        </w:rPr>
        <w:t xml:space="preserve"> כיצד ממלאים את טופס הודעת המיזוג?</w:t>
      </w:r>
      <w:bookmarkEnd w:id="23"/>
      <w:r w:rsidRPr="00C65204">
        <w:rPr>
          <w:rFonts w:cs="David" w:hint="cs"/>
          <w:i w:val="0"/>
          <w:iCs w:val="0"/>
          <w:rtl/>
        </w:rPr>
        <w:t xml:space="preserve"> </w:t>
      </w:r>
    </w:p>
    <w:p w:rsidR="007E35C6" w:rsidRDefault="007E35C6" w:rsidP="00B52561">
      <w:pPr>
        <w:spacing w:after="240"/>
        <w:ind w:left="32"/>
        <w:rPr>
          <w:rFonts w:hint="cs"/>
          <w:sz w:val="24"/>
          <w:rtl/>
        </w:rPr>
      </w:pPr>
      <w:r>
        <w:rPr>
          <w:rFonts w:hint="cs"/>
          <w:sz w:val="24"/>
          <w:rtl/>
        </w:rPr>
        <w:t>סעיף 20 לחוק קובע כי חובת הדיווח על מיזוג חברות תקוים באמצעות "הודעה שפרטיה ייקבעו בתקנות". תקנת המיזוגים החדשה קובעת שני מסלולי דיווח אפשריים על מיזוג חברות: דיווח נרחב במסגרת "</w:t>
      </w:r>
      <w:r>
        <w:rPr>
          <w:rFonts w:hint="cs"/>
          <w:b/>
          <w:bCs/>
          <w:sz w:val="24"/>
          <w:rtl/>
        </w:rPr>
        <w:t>הודעת מיזוג רגילה</w:t>
      </w:r>
      <w:r>
        <w:rPr>
          <w:rFonts w:hint="cs"/>
          <w:sz w:val="24"/>
          <w:rtl/>
        </w:rPr>
        <w:t>" (טופס 2) ודיווח תמציתי במסגרת "</w:t>
      </w:r>
      <w:r>
        <w:rPr>
          <w:rFonts w:hint="cs"/>
          <w:b/>
          <w:bCs/>
          <w:sz w:val="24"/>
          <w:rtl/>
        </w:rPr>
        <w:t>הודעת מיזוג מקוצרת</w:t>
      </w:r>
      <w:r>
        <w:rPr>
          <w:rFonts w:hint="cs"/>
          <w:sz w:val="24"/>
          <w:rtl/>
        </w:rPr>
        <w:t>". בנוסף, מקנות התקנות אפשרות להפנות להודעת מיזוג קודמת שהגישה החברה המתמזגת, אם הפרטים בה נכונים גם במועד הגשת ההודעה הנוכחית ("</w:t>
      </w:r>
      <w:r>
        <w:rPr>
          <w:rFonts w:hint="cs"/>
          <w:b/>
          <w:bCs/>
          <w:sz w:val="24"/>
          <w:rtl/>
        </w:rPr>
        <w:t>הודעה על דרך הפניה</w:t>
      </w:r>
      <w:r>
        <w:rPr>
          <w:rFonts w:hint="cs"/>
          <w:sz w:val="24"/>
          <w:rtl/>
        </w:rPr>
        <w:t xml:space="preserve">"). </w:t>
      </w:r>
    </w:p>
    <w:p w:rsidR="007E35C6" w:rsidRDefault="007E35C6" w:rsidP="00B52561">
      <w:pPr>
        <w:spacing w:after="240"/>
        <w:ind w:left="32"/>
        <w:rPr>
          <w:rFonts w:hint="cs"/>
          <w:sz w:val="24"/>
          <w:rtl/>
        </w:rPr>
      </w:pPr>
      <w:r>
        <w:rPr>
          <w:rFonts w:hint="cs"/>
          <w:b/>
          <w:bCs/>
          <w:sz w:val="24"/>
          <w:rtl/>
        </w:rPr>
        <w:t>מסלול הדיווח המקוצר</w:t>
      </w:r>
      <w:r>
        <w:rPr>
          <w:rFonts w:hint="cs"/>
          <w:sz w:val="24"/>
          <w:rtl/>
        </w:rPr>
        <w:t xml:space="preserve"> מיועד לעסקאות מיזוג שמתקיימים בהן כל התנאים הבאים במצטבר: ראשית, שחלקן המצרפי של החברות המתמזגות (לרבות כל אדם קשור להן) בשוק המוצר נושא עסקת המיזוג </w:t>
      </w:r>
      <w:r>
        <w:rPr>
          <w:sz w:val="24"/>
          <w:rtl/>
        </w:rPr>
        <w:t>–</w:t>
      </w:r>
      <w:r>
        <w:rPr>
          <w:rFonts w:hint="cs"/>
          <w:sz w:val="24"/>
          <w:rtl/>
        </w:rPr>
        <w:t xml:space="preserve"> אינו עולה על שלושים אחוזים. שנית, שאף אחת מהחברות המתמזגות (לרבות אדם קשור למי מהן) אינה בעל</w:t>
      </w:r>
      <w:r w:rsidR="005F5CE2">
        <w:rPr>
          <w:rFonts w:hint="cs"/>
          <w:sz w:val="24"/>
          <w:rtl/>
        </w:rPr>
        <w:t>ת</w:t>
      </w:r>
      <w:r>
        <w:rPr>
          <w:rFonts w:hint="cs"/>
          <w:sz w:val="24"/>
          <w:rtl/>
        </w:rPr>
        <w:t xml:space="preserve"> מונופולין בשוק מוצר משיק לשוק המוצר נושא עסקת המיזוג. לבסוף, כי אף אחת מהחברות אינה צד להסדר עם צד שלישי המתחרה בה בשוק המוצר נושא עסקת המיזוג.</w:t>
      </w:r>
      <w:r>
        <w:rPr>
          <w:rStyle w:val="FootnoteReference"/>
          <w:sz w:val="24"/>
          <w:rtl/>
        </w:rPr>
        <w:footnoteReference w:id="70"/>
      </w:r>
      <w:r>
        <w:rPr>
          <w:rFonts w:hint="cs"/>
          <w:sz w:val="24"/>
          <w:rtl/>
        </w:rPr>
        <w:t xml:space="preserve"> </w:t>
      </w:r>
      <w:r w:rsidR="00521F42">
        <w:rPr>
          <w:rFonts w:hint="cs"/>
          <w:sz w:val="24"/>
          <w:rtl/>
        </w:rPr>
        <w:t>כפי שהוסבר על ידי הרשות בעבר, המסלול המקוצר אינו מיועד לעסקאות בהן קיימת חפיפה בעייתית בין הפעילויות של בעלי מניות משמעותיים בחברות המתמזגות. מסלול זה אף אינו מתאים לעסקאות שקיימת מורכבות עובדתית בבירורן (למשל מיזוג בין קונצרנים המנהלים פעילות ענפה, גם אם אין בו מורכבות תחרותית). במצבים אלה, כדאי לדווח על העסקה במסלול הרגיל, זאת בכדי למנוע עיכוב בהליך הבדיקה.</w:t>
      </w:r>
      <w:r w:rsidR="005F5CE2">
        <w:rPr>
          <w:rStyle w:val="FootnoteReference"/>
          <w:sz w:val="24"/>
          <w:rtl/>
        </w:rPr>
        <w:footnoteReference w:id="71"/>
      </w:r>
      <w:r w:rsidR="00521F42">
        <w:rPr>
          <w:rFonts w:hint="cs"/>
          <w:sz w:val="24"/>
          <w:rtl/>
        </w:rPr>
        <w:t xml:space="preserve"> </w:t>
      </w:r>
    </w:p>
    <w:p w:rsidR="00230ED6" w:rsidRDefault="007E35C6" w:rsidP="00B52561">
      <w:pPr>
        <w:spacing w:after="240"/>
        <w:ind w:left="32"/>
        <w:rPr>
          <w:rFonts w:hint="cs"/>
          <w:szCs w:val="22"/>
          <w:rtl/>
        </w:rPr>
      </w:pPr>
      <w:r>
        <w:rPr>
          <w:rFonts w:hint="cs"/>
          <w:sz w:val="24"/>
          <w:rtl/>
        </w:rPr>
        <w:t xml:space="preserve">עסקת מיזוג שלא מתקיימים בה אחד או יותר מן התנאים שנמנו תדווח במסגרת </w:t>
      </w:r>
      <w:r>
        <w:rPr>
          <w:rFonts w:hint="cs"/>
          <w:b/>
          <w:bCs/>
          <w:sz w:val="24"/>
          <w:rtl/>
        </w:rPr>
        <w:t>המסלול הרגיל</w:t>
      </w:r>
      <w:r>
        <w:rPr>
          <w:rFonts w:hint="cs"/>
          <w:sz w:val="24"/>
          <w:rtl/>
        </w:rPr>
        <w:t xml:space="preserve">. היקף הדיווח הנדרש במסגרת המסלול הרגיל מושפע מסוג המיזוג בו מדובר. דיני ההגבלים העסקיים מבחינים בין שלושה סוגים של מיזוגים: </w:t>
      </w:r>
      <w:r>
        <w:rPr>
          <w:rFonts w:hint="cs"/>
          <w:b/>
          <w:bCs/>
          <w:sz w:val="24"/>
          <w:rtl/>
        </w:rPr>
        <w:t>המיזוג האופקי</w:t>
      </w:r>
      <w:r>
        <w:rPr>
          <w:rFonts w:hint="cs"/>
          <w:sz w:val="24"/>
          <w:rtl/>
        </w:rPr>
        <w:t xml:space="preserve"> (מיזוג בין פירמות מתחרות), </w:t>
      </w:r>
      <w:r>
        <w:rPr>
          <w:rFonts w:hint="cs"/>
          <w:b/>
          <w:bCs/>
          <w:sz w:val="24"/>
          <w:rtl/>
        </w:rPr>
        <w:t>המיזוג האנכי</w:t>
      </w:r>
      <w:r>
        <w:rPr>
          <w:rFonts w:hint="cs"/>
          <w:sz w:val="24"/>
          <w:rtl/>
        </w:rPr>
        <w:t xml:space="preserve"> (מיזוג בין פירמות </w:t>
      </w:r>
      <w:r w:rsidR="009E76A1">
        <w:rPr>
          <w:rFonts w:hint="cs"/>
          <w:sz w:val="24"/>
          <w:rtl/>
        </w:rPr>
        <w:t>שפועלות בשלבים עוקבים של שרשרת האספקה</w:t>
      </w:r>
      <w:r>
        <w:rPr>
          <w:rFonts w:hint="cs"/>
          <w:sz w:val="24"/>
          <w:rtl/>
        </w:rPr>
        <w:t xml:space="preserve">) </w:t>
      </w:r>
      <w:r>
        <w:rPr>
          <w:rFonts w:hint="cs"/>
          <w:b/>
          <w:bCs/>
          <w:sz w:val="24"/>
          <w:rtl/>
        </w:rPr>
        <w:t>והמיזוג הקונגלומרטי</w:t>
      </w:r>
      <w:r>
        <w:rPr>
          <w:rFonts w:hint="cs"/>
          <w:sz w:val="24"/>
          <w:rtl/>
        </w:rPr>
        <w:t xml:space="preserve"> (</w:t>
      </w:r>
      <w:r w:rsidR="009E76A1">
        <w:rPr>
          <w:rFonts w:hint="cs"/>
          <w:sz w:val="24"/>
          <w:rtl/>
        </w:rPr>
        <w:t>הקבוצה השיורית, בה מצויים</w:t>
      </w:r>
      <w:r>
        <w:rPr>
          <w:rFonts w:hint="cs"/>
          <w:sz w:val="24"/>
          <w:rtl/>
        </w:rPr>
        <w:t xml:space="preserve"> כל </w:t>
      </w:r>
      <w:r w:rsidR="009E76A1">
        <w:rPr>
          <w:rFonts w:hint="cs"/>
          <w:sz w:val="24"/>
          <w:rtl/>
        </w:rPr>
        <w:t>יתרת</w:t>
      </w:r>
      <w:r>
        <w:rPr>
          <w:rFonts w:hint="cs"/>
          <w:sz w:val="24"/>
          <w:rtl/>
        </w:rPr>
        <w:t xml:space="preserve"> המיזוגים). לכל סוג מיזוג חששות המיוחדים לו ומידע מתאים הנחוץ לבחינתם. מידע הנחוץ להערכה ראשונית של מיזוג אופקי עשוי להיות מיותר כאשר עסקינן במיזוג קונגלומרטי ולהפך. לכן נדרשים צדדים למיזוג למלא, בטופס הרגיל, רק את אותם פרקים שרלבנטיים לסוג המיזוג בו מדובר</w:t>
      </w:r>
      <w:r>
        <w:rPr>
          <w:rFonts w:hint="cs"/>
          <w:szCs w:val="22"/>
          <w:rtl/>
        </w:rPr>
        <w:t>.</w:t>
      </w:r>
      <w:r w:rsidR="005F5CE2">
        <w:rPr>
          <w:rStyle w:val="FootnoteReference"/>
          <w:szCs w:val="22"/>
          <w:rtl/>
        </w:rPr>
        <w:footnoteReference w:id="72"/>
      </w:r>
      <w:r>
        <w:rPr>
          <w:rFonts w:hint="cs"/>
          <w:szCs w:val="22"/>
          <w:rtl/>
        </w:rPr>
        <w:t xml:space="preserve"> </w:t>
      </w:r>
    </w:p>
    <w:p w:rsidR="007E35C6" w:rsidRPr="00C65204" w:rsidRDefault="007E35C6" w:rsidP="00C65204">
      <w:pPr>
        <w:pStyle w:val="Heading2"/>
        <w:rPr>
          <w:rFonts w:cs="David" w:hint="cs"/>
          <w:i w:val="0"/>
          <w:iCs w:val="0"/>
          <w:rtl/>
        </w:rPr>
      </w:pPr>
      <w:bookmarkStart w:id="24" w:name="_Toc151956820"/>
      <w:r w:rsidRPr="00C65204">
        <w:rPr>
          <w:rFonts w:cs="David" w:hint="cs"/>
          <w:i w:val="0"/>
          <w:iCs w:val="0"/>
          <w:rtl/>
        </w:rPr>
        <w:t>ו.4</w:t>
      </w:r>
      <w:r w:rsidR="005F5CE2" w:rsidRPr="00C65204">
        <w:rPr>
          <w:rFonts w:cs="David" w:hint="cs"/>
          <w:i w:val="0"/>
          <w:iCs w:val="0"/>
          <w:rtl/>
        </w:rPr>
        <w:t>.</w:t>
      </w:r>
      <w:r w:rsidRPr="00C65204">
        <w:rPr>
          <w:rFonts w:cs="David" w:hint="cs"/>
          <w:i w:val="0"/>
          <w:iCs w:val="0"/>
          <w:rtl/>
        </w:rPr>
        <w:t xml:space="preserve"> מהי הודעת מיזוג חסרה ומה תוקפה?</w:t>
      </w:r>
      <w:bookmarkEnd w:id="24"/>
      <w:r w:rsidRPr="00C65204">
        <w:rPr>
          <w:rFonts w:cs="David" w:hint="cs"/>
          <w:i w:val="0"/>
          <w:iCs w:val="0"/>
          <w:rtl/>
        </w:rPr>
        <w:t xml:space="preserve"> </w:t>
      </w:r>
    </w:p>
    <w:p w:rsidR="007E35C6" w:rsidRDefault="007E35C6" w:rsidP="00B52561">
      <w:pPr>
        <w:spacing w:after="240"/>
        <w:ind w:left="32"/>
        <w:rPr>
          <w:rFonts w:hint="cs"/>
          <w:sz w:val="24"/>
          <w:rtl/>
        </w:rPr>
      </w:pPr>
      <w:r>
        <w:rPr>
          <w:rFonts w:hint="cs"/>
          <w:sz w:val="24"/>
          <w:rtl/>
        </w:rPr>
        <w:t xml:space="preserve">כפי שראינו, הודעה על מיזוג חברות תימסר לממונה באמצעות טפסים מתאימים הקבועים בתקנות. הודעת מיזוג מלאה היא הודעה הכוללת את כל הפרטים הנדרשים בטופס הרלבנטי ואת כל המסמכים והתעודות שיש להמציא בצמוד לטופס. כך, לטופס הודעת המיזוג הרגילה (טופס 2) יש לצרף את הסכם המיזוג ונספחיו, דו"חות כספיים מבוקרים של מגיש הודעת המיזוג בשתי שנות הכספים האחרונות, תשקיפים שפרסם מגיש הודעת המיזוג בחמש שנות הכספים האחרונות וכן כל מסמך אחר שהוא רלבנטי לבחינת ההשלכות התחרותיות של המיזוג.  </w:t>
      </w:r>
    </w:p>
    <w:p w:rsidR="007E35C6" w:rsidRDefault="007E35C6" w:rsidP="00B52561">
      <w:pPr>
        <w:spacing w:after="240"/>
        <w:ind w:left="32"/>
        <w:rPr>
          <w:rFonts w:hint="cs"/>
          <w:sz w:val="24"/>
          <w:rtl/>
        </w:rPr>
      </w:pPr>
      <w:r>
        <w:rPr>
          <w:rFonts w:hint="cs"/>
          <w:sz w:val="24"/>
          <w:rtl/>
        </w:rPr>
        <w:t>"</w:t>
      </w:r>
      <w:r>
        <w:rPr>
          <w:rFonts w:hint="cs"/>
          <w:b/>
          <w:bCs/>
          <w:sz w:val="24"/>
          <w:rtl/>
        </w:rPr>
        <w:t>הודעת מיזוג" שאינה עומדת בדרישות הקבועות בתקנות לאו הודעת מיזוג היא</w:t>
      </w:r>
      <w:r>
        <w:rPr>
          <w:rFonts w:hint="cs"/>
          <w:sz w:val="24"/>
          <w:rtl/>
        </w:rPr>
        <w:t>. כך הוא למשל, כאשר החברות המתמזגות מודיעות לממונה על כוונתן להתמזג במסגרת מכתב, חלף הגשת הטפסים המתאימים לפי התקנות. כך הוא גם כאשר מוגשות לממונה "הודעות מיזוג" מבלי שצורף עותק מהסכם המיזוג</w:t>
      </w:r>
      <w:r w:rsidR="00521F42">
        <w:rPr>
          <w:rFonts w:hint="cs"/>
          <w:sz w:val="24"/>
          <w:rtl/>
        </w:rPr>
        <w:t xml:space="preserve"> או מנספחיו</w:t>
      </w:r>
      <w:r w:rsidR="009E76A1">
        <w:rPr>
          <w:rFonts w:hint="cs"/>
          <w:sz w:val="24"/>
          <w:rtl/>
        </w:rPr>
        <w:t>, וכך הוא כאשר הודעת המיזוג אינה חתומה בידי אדם המורשה לכך.</w:t>
      </w:r>
    </w:p>
    <w:p w:rsidR="007E35C6" w:rsidRDefault="007E35C6" w:rsidP="00B52561">
      <w:pPr>
        <w:spacing w:after="240"/>
        <w:ind w:left="32"/>
        <w:rPr>
          <w:rFonts w:hint="cs"/>
          <w:szCs w:val="22"/>
          <w:rtl/>
        </w:rPr>
      </w:pPr>
      <w:r>
        <w:rPr>
          <w:rFonts w:hint="cs"/>
          <w:sz w:val="24"/>
          <w:rtl/>
        </w:rPr>
        <w:t xml:space="preserve">הואיל והודעת מיזוג חסרה אינה מהווה "הודעת מיזוג", הגשתה </w:t>
      </w:r>
      <w:r w:rsidR="009E76A1">
        <w:rPr>
          <w:rFonts w:hint="cs"/>
          <w:sz w:val="24"/>
          <w:rtl/>
        </w:rPr>
        <w:t xml:space="preserve">אינה פותחת את </w:t>
      </w:r>
      <w:r>
        <w:rPr>
          <w:rFonts w:hint="cs"/>
          <w:sz w:val="24"/>
          <w:rtl/>
        </w:rPr>
        <w:t xml:space="preserve">מניין הימים הקבוע בחוק למתן החלטת הממונה במיזוג. רק למן הגשתן של הודעות מיזוג </w:t>
      </w:r>
      <w:r w:rsidRPr="00521F42">
        <w:rPr>
          <w:rFonts w:hint="cs"/>
          <w:b/>
          <w:bCs/>
          <w:sz w:val="24"/>
          <w:rtl/>
        </w:rPr>
        <w:t>מלאות</w:t>
      </w:r>
      <w:r>
        <w:rPr>
          <w:rFonts w:hint="cs"/>
          <w:sz w:val="24"/>
          <w:rtl/>
        </w:rPr>
        <w:t xml:space="preserve"> על ידי </w:t>
      </w:r>
      <w:r w:rsidRPr="00521F42">
        <w:rPr>
          <w:rFonts w:hint="cs"/>
          <w:b/>
          <w:bCs/>
          <w:sz w:val="24"/>
          <w:rtl/>
        </w:rPr>
        <w:t>כל החברות</w:t>
      </w:r>
      <w:r>
        <w:rPr>
          <w:rFonts w:hint="cs"/>
          <w:sz w:val="24"/>
          <w:rtl/>
        </w:rPr>
        <w:t xml:space="preserve"> המתמזגות, כנדרש לפי החוק והתקנות, יחל פרק הזמן הקצוב למתן החלטת הממונה במיזוג. מסקנה זו אינה מתחייבת רק מלשון החוק אלא גם מהגיונם של דברים, שהרי אין כל טעם בקציבת מועד למתן החלטת הממונה, בטרם הוגש </w:t>
      </w:r>
      <w:r w:rsidR="005F5CE2">
        <w:rPr>
          <w:rFonts w:hint="cs"/>
          <w:sz w:val="24"/>
          <w:rtl/>
        </w:rPr>
        <w:t xml:space="preserve">לעיונה </w:t>
      </w:r>
      <w:r>
        <w:rPr>
          <w:rFonts w:hint="cs"/>
          <w:sz w:val="24"/>
          <w:rtl/>
        </w:rPr>
        <w:t xml:space="preserve">כל המידע הנחוץ </w:t>
      </w:r>
      <w:r w:rsidR="00230ED6">
        <w:rPr>
          <w:rFonts w:hint="cs"/>
          <w:sz w:val="24"/>
          <w:rtl/>
        </w:rPr>
        <w:t>לביצוע הבדיקה.</w:t>
      </w:r>
      <w:r>
        <w:rPr>
          <w:rFonts w:hint="cs"/>
          <w:szCs w:val="22"/>
          <w:rtl/>
        </w:rPr>
        <w:t xml:space="preserve"> </w:t>
      </w:r>
    </w:p>
    <w:p w:rsidR="007E35C6" w:rsidRPr="00C65204" w:rsidRDefault="007E35C6" w:rsidP="00C65204">
      <w:pPr>
        <w:pStyle w:val="Heading2"/>
        <w:rPr>
          <w:rFonts w:cs="David" w:hint="cs"/>
          <w:i w:val="0"/>
          <w:iCs w:val="0"/>
        </w:rPr>
      </w:pPr>
      <w:bookmarkStart w:id="25" w:name="_Toc151956821"/>
      <w:r w:rsidRPr="00C65204">
        <w:rPr>
          <w:rFonts w:cs="David" w:hint="cs"/>
          <w:i w:val="0"/>
          <w:iCs w:val="0"/>
          <w:rtl/>
        </w:rPr>
        <w:t>ו.5</w:t>
      </w:r>
      <w:r w:rsidR="009D2D57" w:rsidRPr="00C65204">
        <w:rPr>
          <w:rFonts w:cs="David" w:hint="cs"/>
          <w:i w:val="0"/>
          <w:iCs w:val="0"/>
          <w:rtl/>
        </w:rPr>
        <w:t>.</w:t>
      </w:r>
      <w:r w:rsidRPr="00C65204">
        <w:rPr>
          <w:rFonts w:cs="David" w:hint="cs"/>
          <w:i w:val="0"/>
          <w:iCs w:val="0"/>
          <w:rtl/>
        </w:rPr>
        <w:t xml:space="preserve"> דרישות נתונים ומשמעות הסירוב לספק נתונים</w:t>
      </w:r>
      <w:bookmarkEnd w:id="25"/>
    </w:p>
    <w:p w:rsidR="007E35C6" w:rsidRDefault="007E35C6" w:rsidP="00B52561">
      <w:pPr>
        <w:spacing w:after="240"/>
        <w:ind w:left="32"/>
        <w:rPr>
          <w:rFonts w:hint="cs"/>
          <w:sz w:val="24"/>
          <w:rtl/>
        </w:rPr>
      </w:pPr>
      <w:r>
        <w:rPr>
          <w:rFonts w:hint="cs"/>
          <w:sz w:val="24"/>
          <w:rtl/>
        </w:rPr>
        <w:t>בחינתה של עסקת מיזוג נעשית על יסוד מידע המתקבל מהחברות המתמזגות ומצדדים שלישיים. המידע המסופק במסגרת הודעות המיזוג הוא מידע חשוב ומרכזי ועל יסודו פותח</w:t>
      </w:r>
      <w:r w:rsidR="009D2D57">
        <w:rPr>
          <w:rFonts w:hint="cs"/>
          <w:sz w:val="24"/>
          <w:rtl/>
        </w:rPr>
        <w:t>ת</w:t>
      </w:r>
      <w:r>
        <w:rPr>
          <w:rFonts w:hint="cs"/>
          <w:sz w:val="24"/>
          <w:rtl/>
        </w:rPr>
        <w:t xml:space="preserve"> הממונה בבדיקת ההשפעות התחרותיות של המיזוג. במקרים רבים, אין די במידע המסופק במסגרת הודעות המיזוג, בין משום שנדרש מידע רלבנטי שאינו מצוי בידיעת הצדדים למיזוג ובין משום שנדרש מידע פרטני נוסף מן הצדדים למיזוג.</w:t>
      </w:r>
      <w:r>
        <w:rPr>
          <w:rStyle w:val="FootnoteReference"/>
          <w:sz w:val="24"/>
          <w:rtl/>
        </w:rPr>
        <w:footnoteReference w:id="73"/>
      </w:r>
      <w:r>
        <w:rPr>
          <w:rFonts w:hint="cs"/>
          <w:sz w:val="24"/>
          <w:rtl/>
        </w:rPr>
        <w:t xml:space="preserve"> </w:t>
      </w:r>
    </w:p>
    <w:p w:rsidR="007E35C6" w:rsidRDefault="007E35C6" w:rsidP="00CB5B03">
      <w:pPr>
        <w:spacing w:after="240"/>
        <w:ind w:left="32"/>
        <w:rPr>
          <w:rFonts w:hint="cs"/>
          <w:sz w:val="24"/>
          <w:rtl/>
        </w:rPr>
      </w:pPr>
      <w:r>
        <w:rPr>
          <w:rFonts w:hint="cs"/>
          <w:sz w:val="24"/>
          <w:rtl/>
        </w:rPr>
        <w:t xml:space="preserve">לשם קבלת המידע הנוסף הדרוש </w:t>
      </w:r>
      <w:r w:rsidR="00491CD5">
        <w:rPr>
          <w:rFonts w:hint="cs"/>
          <w:sz w:val="24"/>
          <w:rtl/>
        </w:rPr>
        <w:t xml:space="preserve">לה </w:t>
      </w:r>
      <w:r>
        <w:rPr>
          <w:rFonts w:hint="cs"/>
          <w:sz w:val="24"/>
          <w:rtl/>
        </w:rPr>
        <w:t xml:space="preserve">להכרעה, עושה הממונה שימוש בסמכות המוקנית </w:t>
      </w:r>
      <w:r w:rsidR="00491CD5">
        <w:rPr>
          <w:rFonts w:hint="cs"/>
          <w:sz w:val="24"/>
          <w:rtl/>
        </w:rPr>
        <w:t xml:space="preserve">לה </w:t>
      </w:r>
      <w:r>
        <w:rPr>
          <w:rFonts w:hint="cs"/>
          <w:sz w:val="24"/>
          <w:rtl/>
        </w:rPr>
        <w:t>בסע</w:t>
      </w:r>
      <w:r w:rsidR="00491CD5">
        <w:rPr>
          <w:rFonts w:hint="cs"/>
          <w:sz w:val="24"/>
          <w:rtl/>
        </w:rPr>
        <w:t>י</w:t>
      </w:r>
      <w:r w:rsidR="00293A57">
        <w:rPr>
          <w:rFonts w:hint="cs"/>
          <w:sz w:val="24"/>
          <w:rtl/>
        </w:rPr>
        <w:t xml:space="preserve">ף 46 (ב) לחוק, </w:t>
      </w:r>
      <w:r>
        <w:rPr>
          <w:rFonts w:hint="cs"/>
          <w:sz w:val="24"/>
          <w:rtl/>
        </w:rPr>
        <w:t>לדרוש מכל אדם למסור ל</w:t>
      </w:r>
      <w:r w:rsidR="00293A57">
        <w:rPr>
          <w:rFonts w:hint="cs"/>
          <w:sz w:val="24"/>
          <w:rtl/>
        </w:rPr>
        <w:t>ה</w:t>
      </w:r>
      <w:r>
        <w:rPr>
          <w:rFonts w:hint="cs"/>
          <w:sz w:val="24"/>
          <w:rtl/>
        </w:rPr>
        <w:t xml:space="preserve"> נתונים ומסמכים הדרושים לביצוע החוק. כנגד </w:t>
      </w:r>
      <w:r w:rsidR="00491CD5">
        <w:rPr>
          <w:rFonts w:hint="cs"/>
          <w:sz w:val="24"/>
          <w:rtl/>
        </w:rPr>
        <w:t xml:space="preserve">סמכותה </w:t>
      </w:r>
      <w:r>
        <w:rPr>
          <w:rFonts w:hint="cs"/>
          <w:sz w:val="24"/>
          <w:rtl/>
        </w:rPr>
        <w:t xml:space="preserve">של הממונה לדרוש נתונים הדרושים </w:t>
      </w:r>
      <w:r w:rsidR="00293A57">
        <w:rPr>
          <w:rFonts w:hint="cs"/>
          <w:sz w:val="24"/>
          <w:rtl/>
        </w:rPr>
        <w:t xml:space="preserve">לה </w:t>
      </w:r>
      <w:r>
        <w:rPr>
          <w:rFonts w:hint="cs"/>
          <w:sz w:val="24"/>
          <w:rtl/>
        </w:rPr>
        <w:t xml:space="preserve">לשם בדיקת המיזוג עומדת </w:t>
      </w:r>
      <w:r>
        <w:rPr>
          <w:rFonts w:hint="cs"/>
          <w:b/>
          <w:bCs/>
          <w:sz w:val="24"/>
          <w:rtl/>
        </w:rPr>
        <w:t>חובתו</w:t>
      </w:r>
      <w:r>
        <w:rPr>
          <w:rFonts w:hint="cs"/>
          <w:sz w:val="24"/>
          <w:rtl/>
        </w:rPr>
        <w:t xml:space="preserve"> של נמען הבקשה להיענות לה. סירוב לספק נתונים שנדרשו מכוח </w:t>
      </w:r>
      <w:r w:rsidR="00CB5B03">
        <w:rPr>
          <w:rFonts w:hint="cs"/>
          <w:sz w:val="24"/>
          <w:rtl/>
        </w:rPr>
        <w:t xml:space="preserve">סעיף 46 (ב) לחוק </w:t>
      </w:r>
      <w:r>
        <w:rPr>
          <w:rFonts w:hint="cs"/>
          <w:sz w:val="24"/>
          <w:rtl/>
        </w:rPr>
        <w:t xml:space="preserve">מהווה </w:t>
      </w:r>
      <w:r>
        <w:rPr>
          <w:rFonts w:hint="cs"/>
          <w:b/>
          <w:bCs/>
          <w:sz w:val="24"/>
          <w:rtl/>
        </w:rPr>
        <w:t>עבירה פלילית</w:t>
      </w:r>
      <w:r>
        <w:rPr>
          <w:rFonts w:hint="cs"/>
          <w:sz w:val="24"/>
          <w:rtl/>
        </w:rPr>
        <w:t xml:space="preserve"> שדינה מאסר שנה או קנס בשיעור גבוה.</w:t>
      </w:r>
      <w:r>
        <w:rPr>
          <w:rStyle w:val="FootnoteReference"/>
          <w:sz w:val="24"/>
          <w:rtl/>
        </w:rPr>
        <w:footnoteReference w:id="74"/>
      </w:r>
      <w:r>
        <w:rPr>
          <w:rFonts w:hint="cs"/>
          <w:sz w:val="24"/>
          <w:rtl/>
        </w:rPr>
        <w:t xml:space="preserve"> </w:t>
      </w:r>
    </w:p>
    <w:p w:rsidR="007E35C6" w:rsidRDefault="007E35C6" w:rsidP="00B52561">
      <w:pPr>
        <w:spacing w:after="240"/>
        <w:ind w:left="32"/>
        <w:rPr>
          <w:rFonts w:hint="cs"/>
          <w:szCs w:val="22"/>
          <w:rtl/>
        </w:rPr>
      </w:pPr>
      <w:r>
        <w:rPr>
          <w:rFonts w:hint="cs"/>
          <w:sz w:val="24"/>
          <w:rtl/>
        </w:rPr>
        <w:t xml:space="preserve">בנוסף, כאשר </w:t>
      </w:r>
      <w:r>
        <w:rPr>
          <w:rFonts w:hint="cs"/>
          <w:b/>
          <w:bCs/>
          <w:sz w:val="24"/>
          <w:rtl/>
        </w:rPr>
        <w:t>צד למיזוג</w:t>
      </w:r>
      <w:r>
        <w:rPr>
          <w:rFonts w:hint="cs"/>
          <w:sz w:val="24"/>
          <w:rtl/>
        </w:rPr>
        <w:t xml:space="preserve"> מסרב לספק נתונים שהם מהותיים לבחינת עסקת המיזוג (או משהה מסירתם), עשויה התנהגותו, כשלעצמה, להצדיק התנגדות למיזו</w:t>
      </w:r>
      <w:r w:rsidR="00715FD4">
        <w:rPr>
          <w:rFonts w:hint="cs"/>
          <w:sz w:val="24"/>
          <w:rtl/>
        </w:rPr>
        <w:t>ג</w:t>
      </w:r>
      <w:r>
        <w:rPr>
          <w:rFonts w:hint="cs"/>
          <w:sz w:val="24"/>
          <w:rtl/>
        </w:rPr>
        <w:t>.</w:t>
      </w:r>
      <w:r w:rsidR="009D2D57">
        <w:rPr>
          <w:rStyle w:val="FootnoteReference"/>
          <w:sz w:val="24"/>
          <w:rtl/>
        </w:rPr>
        <w:footnoteReference w:id="75"/>
      </w:r>
      <w:r>
        <w:rPr>
          <w:rFonts w:hint="cs"/>
          <w:sz w:val="24"/>
          <w:rtl/>
        </w:rPr>
        <w:t xml:space="preserve"> </w:t>
      </w:r>
    </w:p>
    <w:p w:rsidR="001D50D4" w:rsidRDefault="001D50D4" w:rsidP="00B52561">
      <w:pPr>
        <w:spacing w:after="240"/>
        <w:ind w:left="32"/>
        <w:rPr>
          <w:rFonts w:hint="cs"/>
          <w:szCs w:val="22"/>
          <w:rtl/>
        </w:rPr>
      </w:pPr>
    </w:p>
    <w:p w:rsidR="007E35C6" w:rsidRPr="00084C31" w:rsidRDefault="007E35C6" w:rsidP="00084C31">
      <w:pPr>
        <w:pStyle w:val="Heading2"/>
        <w:rPr>
          <w:rFonts w:cs="David" w:hint="cs"/>
          <w:i w:val="0"/>
          <w:iCs w:val="0"/>
        </w:rPr>
      </w:pPr>
      <w:bookmarkStart w:id="26" w:name="_Toc151956822"/>
      <w:r w:rsidRPr="00084C31">
        <w:rPr>
          <w:rFonts w:cs="David" w:hint="cs"/>
          <w:i w:val="0"/>
          <w:iCs w:val="0"/>
          <w:rtl/>
        </w:rPr>
        <w:t>ו.6</w:t>
      </w:r>
      <w:r w:rsidR="009D2D57" w:rsidRPr="00084C31">
        <w:rPr>
          <w:rFonts w:cs="David" w:hint="cs"/>
          <w:i w:val="0"/>
          <w:iCs w:val="0"/>
          <w:rtl/>
        </w:rPr>
        <w:t>.</w:t>
      </w:r>
      <w:r w:rsidRPr="00084C31">
        <w:rPr>
          <w:rFonts w:cs="David" w:hint="cs"/>
          <w:i w:val="0"/>
          <w:iCs w:val="0"/>
          <w:rtl/>
        </w:rPr>
        <w:t xml:space="preserve"> משך הזמן לבדיקת מיזוגים</w:t>
      </w:r>
      <w:bookmarkEnd w:id="26"/>
      <w:r w:rsidRPr="00084C31">
        <w:rPr>
          <w:rFonts w:cs="David" w:hint="cs"/>
          <w:i w:val="0"/>
          <w:iCs w:val="0"/>
          <w:rtl/>
        </w:rPr>
        <w:t xml:space="preserve"> </w:t>
      </w:r>
    </w:p>
    <w:p w:rsidR="007E35C6" w:rsidRDefault="007E35C6" w:rsidP="00B52561">
      <w:pPr>
        <w:spacing w:after="240" w:line="240" w:lineRule="auto"/>
        <w:ind w:left="32"/>
        <w:rPr>
          <w:rFonts w:hint="cs"/>
          <w:szCs w:val="22"/>
          <w:rtl/>
        </w:rPr>
      </w:pPr>
      <w:r>
        <w:rPr>
          <w:rFonts w:hint="cs"/>
          <w:sz w:val="24"/>
          <w:rtl/>
        </w:rPr>
        <w:t>סעיף 20 (ב) לחוק קובע כי:</w:t>
      </w:r>
    </w:p>
    <w:p w:rsidR="007E35C6" w:rsidRDefault="007E35C6" w:rsidP="00B52561">
      <w:pPr>
        <w:spacing w:after="240" w:line="240" w:lineRule="auto"/>
        <w:ind w:left="32"/>
        <w:rPr>
          <w:rFonts w:hint="cs"/>
          <w:szCs w:val="22"/>
          <w:rtl/>
        </w:rPr>
      </w:pPr>
    </w:p>
    <w:p w:rsidR="007E35C6" w:rsidRDefault="007E35C6" w:rsidP="00030656">
      <w:pPr>
        <w:spacing w:after="240"/>
        <w:ind w:left="752" w:right="900"/>
        <w:rPr>
          <w:rFonts w:hint="cs"/>
          <w:szCs w:val="22"/>
          <w:rtl/>
        </w:rPr>
      </w:pPr>
      <w:r>
        <w:rPr>
          <w:rFonts w:hint="cs"/>
          <w:sz w:val="24"/>
          <w:rtl/>
        </w:rPr>
        <w:t>"תוך שלושים יום מיום שקיבל הודעת מיזוג מאת כל החברות המבקשות להתמזג, יודיע להן הממונה אם הוא מסכים למיזוג או מתנגד לו או מתנה אותו בתנאים שיציין בהודעתו..."</w:t>
      </w:r>
      <w:r>
        <w:rPr>
          <w:rFonts w:hint="cs"/>
          <w:szCs w:val="22"/>
          <w:rtl/>
        </w:rPr>
        <w:t xml:space="preserve">. </w:t>
      </w:r>
    </w:p>
    <w:p w:rsidR="007E35C6" w:rsidRDefault="007E35C6" w:rsidP="00B52561">
      <w:pPr>
        <w:spacing w:after="240"/>
        <w:ind w:left="32"/>
        <w:rPr>
          <w:rFonts w:hint="cs"/>
          <w:sz w:val="24"/>
          <w:rtl/>
        </w:rPr>
      </w:pPr>
      <w:r>
        <w:rPr>
          <w:rFonts w:hint="cs"/>
          <w:sz w:val="24"/>
          <w:rtl/>
        </w:rPr>
        <w:t xml:space="preserve">כפי שהוסבר לעיל, מניין הימים האמור מתחיל רק מיום שנמסרו הודעות מיזוג מלאות מאת כל החברות המתמזגות. </w:t>
      </w:r>
    </w:p>
    <w:p w:rsidR="00112A70" w:rsidRDefault="007E35C6" w:rsidP="00B52561">
      <w:pPr>
        <w:spacing w:after="240"/>
        <w:ind w:left="32"/>
        <w:rPr>
          <w:rFonts w:hint="cs"/>
          <w:sz w:val="24"/>
          <w:rtl/>
        </w:rPr>
      </w:pPr>
      <w:r>
        <w:rPr>
          <w:rFonts w:hint="cs"/>
          <w:sz w:val="24"/>
          <w:rtl/>
        </w:rPr>
        <w:t>החוק קובע כי דינו של מיזוג שלא ניתנה לגביו החלטת הממונה בתוך פרק הזמן הנקוב כדין מיזוג שאושר. במרבית המקרים נמסרת החלטת הממונה בתוך פרק הזמן הקבוע בחוק ואף עוד קודם לכן.</w:t>
      </w:r>
      <w:r>
        <w:rPr>
          <w:rStyle w:val="FootnoteReference"/>
          <w:sz w:val="24"/>
          <w:rtl/>
        </w:rPr>
        <w:footnoteReference w:id="76"/>
      </w:r>
      <w:r>
        <w:rPr>
          <w:rFonts w:hint="cs"/>
          <w:sz w:val="24"/>
          <w:rtl/>
        </w:rPr>
        <w:t xml:space="preserve"> לעיתים נדרש פרק זמן העולה על שלושים ימים לצורך גיבוש עמדת הממונה. כדי לאפשר לממונה לקבל החלטה מושכלת במקרים אלה </w:t>
      </w:r>
      <w:r w:rsidR="00112A70">
        <w:rPr>
          <w:rFonts w:hint="cs"/>
          <w:sz w:val="24"/>
          <w:rtl/>
        </w:rPr>
        <w:t xml:space="preserve">ובכלל זה בחינת האפשרות להפיג את החשש התחרותי בתנאים מתאימים </w:t>
      </w:r>
      <w:r>
        <w:rPr>
          <w:rFonts w:hint="cs"/>
          <w:sz w:val="24"/>
          <w:rtl/>
        </w:rPr>
        <w:t xml:space="preserve">(חלף </w:t>
      </w:r>
      <w:r w:rsidR="00112A70">
        <w:rPr>
          <w:rFonts w:hint="cs"/>
          <w:sz w:val="24"/>
          <w:rtl/>
        </w:rPr>
        <w:t xml:space="preserve">היזקקות לסעד ההתנגדות למיזוג), </w:t>
      </w:r>
      <w:r>
        <w:rPr>
          <w:rFonts w:hint="cs"/>
          <w:sz w:val="24"/>
          <w:rtl/>
        </w:rPr>
        <w:t>התגבשה במהלך השנים פרקטיקה לפיה מ</w:t>
      </w:r>
      <w:r w:rsidR="00112A70">
        <w:rPr>
          <w:rFonts w:hint="cs"/>
          <w:sz w:val="24"/>
          <w:rtl/>
        </w:rPr>
        <w:t xml:space="preserve">גיעים הצדדים למיזוג להסכמה </w:t>
      </w:r>
      <w:r w:rsidR="00230ED6">
        <w:rPr>
          <w:rFonts w:hint="cs"/>
          <w:sz w:val="24"/>
          <w:rtl/>
        </w:rPr>
        <w:t xml:space="preserve">עם הממונה, לפיה הליך הבדיקה של הרשות יימשך והחלטת הממונה תינתן במועד מאוחר יותר, זאת כמובן תוך </w:t>
      </w:r>
      <w:r w:rsidR="00491CD5">
        <w:rPr>
          <w:rFonts w:hint="cs"/>
          <w:sz w:val="24"/>
          <w:rtl/>
        </w:rPr>
        <w:t>הבנה עם</w:t>
      </w:r>
      <w:r w:rsidR="00230ED6">
        <w:rPr>
          <w:rFonts w:hint="cs"/>
          <w:sz w:val="24"/>
          <w:rtl/>
        </w:rPr>
        <w:t xml:space="preserve"> החברות המתמזגות</w:t>
      </w:r>
      <w:r w:rsidR="00491CD5">
        <w:rPr>
          <w:rFonts w:hint="cs"/>
          <w:sz w:val="24"/>
          <w:rtl/>
        </w:rPr>
        <w:t>, לפיה הן</w:t>
      </w:r>
      <w:r w:rsidR="00230ED6">
        <w:rPr>
          <w:rFonts w:hint="cs"/>
          <w:sz w:val="24"/>
          <w:rtl/>
        </w:rPr>
        <w:t xml:space="preserve"> </w:t>
      </w:r>
      <w:r w:rsidR="00293A57">
        <w:rPr>
          <w:rFonts w:hint="cs"/>
          <w:sz w:val="24"/>
          <w:rtl/>
        </w:rPr>
        <w:t xml:space="preserve">לא </w:t>
      </w:r>
      <w:r w:rsidR="00230ED6">
        <w:rPr>
          <w:rFonts w:hint="cs"/>
          <w:sz w:val="24"/>
          <w:rtl/>
        </w:rPr>
        <w:t>תעל</w:t>
      </w:r>
      <w:r w:rsidR="00491CD5">
        <w:rPr>
          <w:rFonts w:hint="cs"/>
          <w:sz w:val="24"/>
          <w:rtl/>
        </w:rPr>
        <w:t>נ</w:t>
      </w:r>
      <w:r w:rsidR="00230ED6">
        <w:rPr>
          <w:rFonts w:hint="cs"/>
          <w:sz w:val="24"/>
          <w:rtl/>
        </w:rPr>
        <w:t>ה</w:t>
      </w:r>
      <w:r>
        <w:rPr>
          <w:rFonts w:hint="cs"/>
          <w:sz w:val="24"/>
          <w:rtl/>
        </w:rPr>
        <w:t xml:space="preserve"> טענה הנוגעת לחלוף מניין הימים בשל </w:t>
      </w:r>
      <w:r w:rsidR="00230ED6">
        <w:rPr>
          <w:rFonts w:hint="cs"/>
          <w:sz w:val="24"/>
          <w:rtl/>
        </w:rPr>
        <w:t>השהיית ה</w:t>
      </w:r>
      <w:r w:rsidR="00491CD5">
        <w:rPr>
          <w:rFonts w:hint="cs"/>
          <w:sz w:val="24"/>
          <w:rtl/>
        </w:rPr>
        <w:t>ה</w:t>
      </w:r>
      <w:r w:rsidR="00230ED6">
        <w:rPr>
          <w:rFonts w:hint="cs"/>
          <w:sz w:val="24"/>
          <w:rtl/>
        </w:rPr>
        <w:t>חלט</w:t>
      </w:r>
      <w:r w:rsidR="00491CD5">
        <w:rPr>
          <w:rFonts w:hint="cs"/>
          <w:sz w:val="24"/>
          <w:rtl/>
        </w:rPr>
        <w:t>ה</w:t>
      </w:r>
      <w:r w:rsidR="00230ED6">
        <w:rPr>
          <w:rFonts w:hint="cs"/>
          <w:sz w:val="24"/>
          <w:rtl/>
        </w:rPr>
        <w:t xml:space="preserve">. </w:t>
      </w:r>
      <w:r>
        <w:rPr>
          <w:rFonts w:hint="cs"/>
          <w:sz w:val="24"/>
          <w:rtl/>
        </w:rPr>
        <w:t>יש לציין, כי פרק זמן של שלושים יום למתן החלטות במיזוגים נחשב קצר במיוחד, בהשוואה למסגרות הזמנים הקבועות בחקיקה האירופית והאמריקאית.</w:t>
      </w:r>
      <w:r>
        <w:rPr>
          <w:rStyle w:val="FootnoteReference"/>
          <w:szCs w:val="22"/>
          <w:rtl/>
        </w:rPr>
        <w:footnoteReference w:id="77"/>
      </w:r>
      <w:r>
        <w:rPr>
          <w:rFonts w:hint="cs"/>
          <w:szCs w:val="22"/>
          <w:rtl/>
        </w:rPr>
        <w:t xml:space="preserve"> </w:t>
      </w:r>
      <w:r w:rsidR="00112A70" w:rsidRPr="00112A70">
        <w:rPr>
          <w:rFonts w:hint="cs"/>
          <w:sz w:val="24"/>
          <w:rtl/>
        </w:rPr>
        <w:t>פרק זמן זה מאפשר על פי רוב לזהות קיומו של קושי תחרותי, אך במקרים רבים אין בו די בכדי לאפשר לרשות למצות את בחינת האלטרנטיבות האפשריות למניעת המיזוג</w:t>
      </w:r>
      <w:r w:rsidR="00112A70">
        <w:rPr>
          <w:rFonts w:hint="cs"/>
          <w:szCs w:val="22"/>
          <w:rtl/>
        </w:rPr>
        <w:t xml:space="preserve">. </w:t>
      </w:r>
      <w:r w:rsidR="00112A70" w:rsidRPr="00112A70">
        <w:rPr>
          <w:rFonts w:hint="cs"/>
          <w:sz w:val="24"/>
          <w:rtl/>
        </w:rPr>
        <w:t>כך יוצא, שסד הזמנים הקצר הקבוע בחוק פועל בראש ובראשונה כנגד האינטרס של החברות המתמזגות במיצוי ההליך המנהלי עד תומו</w:t>
      </w:r>
      <w:r w:rsidR="00112A70">
        <w:rPr>
          <w:rFonts w:hint="cs"/>
          <w:sz w:val="24"/>
          <w:rtl/>
        </w:rPr>
        <w:t xml:space="preserve"> והוא אף מעתיר עלויות התדיינות מיותרות על מערך הפיקוח על הגבלים עסקיים. </w:t>
      </w:r>
    </w:p>
    <w:p w:rsidR="00112A70" w:rsidRDefault="00112A70" w:rsidP="00B52561">
      <w:pPr>
        <w:spacing w:after="240"/>
        <w:ind w:left="32"/>
        <w:rPr>
          <w:rFonts w:hint="cs"/>
          <w:sz w:val="24"/>
          <w:rtl/>
        </w:rPr>
      </w:pPr>
      <w:r>
        <w:rPr>
          <w:rFonts w:hint="cs"/>
          <w:sz w:val="24"/>
          <w:rtl/>
        </w:rPr>
        <w:t xml:space="preserve">מובן, כי במקרים בהם סבורה הרשות שנדרש זמן נוסף להשלמת הבדיקות לשם קבלת החלטה מושכלת במיזוג ובהיעדר הסכמה עם הצדדים למיזוג, </w:t>
      </w:r>
      <w:r w:rsidR="00001983">
        <w:rPr>
          <w:rFonts w:hint="cs"/>
          <w:sz w:val="24"/>
          <w:rtl/>
        </w:rPr>
        <w:t>שומרת הרשות על האפשרות לפנות</w:t>
      </w:r>
      <w:r>
        <w:rPr>
          <w:rFonts w:hint="cs"/>
          <w:sz w:val="24"/>
          <w:rtl/>
        </w:rPr>
        <w:t xml:space="preserve"> לבית הדין להגבלים עסקיים</w:t>
      </w:r>
      <w:r w:rsidR="00001983">
        <w:rPr>
          <w:rFonts w:hint="cs"/>
          <w:sz w:val="24"/>
          <w:rtl/>
        </w:rPr>
        <w:t>, בבקשה</w:t>
      </w:r>
      <w:r>
        <w:rPr>
          <w:rFonts w:hint="cs"/>
          <w:sz w:val="24"/>
          <w:rtl/>
        </w:rPr>
        <w:t xml:space="preserve"> להאריך את המועד שקבוע בחוק בהתאם להוראת סעיף 38 לחוק. </w:t>
      </w:r>
    </w:p>
    <w:p w:rsidR="00112A70" w:rsidRDefault="00112A70" w:rsidP="00B52561">
      <w:pPr>
        <w:spacing w:after="240"/>
        <w:ind w:left="32"/>
        <w:rPr>
          <w:rFonts w:hint="cs"/>
          <w:sz w:val="24"/>
          <w:rtl/>
        </w:rPr>
      </w:pPr>
      <w:r>
        <w:rPr>
          <w:rFonts w:hint="cs"/>
          <w:sz w:val="24"/>
          <w:rtl/>
        </w:rPr>
        <w:t>זהו אפוא קו האיזון בו נוקט החוק</w:t>
      </w:r>
      <w:r w:rsidR="00AD536E">
        <w:rPr>
          <w:rFonts w:hint="cs"/>
          <w:sz w:val="24"/>
          <w:rtl/>
        </w:rPr>
        <w:t>, הצבת לוח זמנים קצר במיוחד לבדיקתם של מיזוגים כברירת מחדל, תוך מתן אפשרות להגמשת סד זמנים זה במקרים המתאימים בהסכמת הצדדים למיזוג</w:t>
      </w:r>
      <w:r w:rsidR="00001983">
        <w:rPr>
          <w:rFonts w:hint="cs"/>
          <w:sz w:val="24"/>
          <w:rtl/>
        </w:rPr>
        <w:t>,</w:t>
      </w:r>
      <w:r w:rsidR="00AD536E">
        <w:rPr>
          <w:rFonts w:hint="cs"/>
          <w:sz w:val="24"/>
          <w:rtl/>
        </w:rPr>
        <w:t xml:space="preserve"> או באופן חד צדדי, </w:t>
      </w:r>
      <w:r w:rsidR="00001983">
        <w:rPr>
          <w:rFonts w:hint="cs"/>
          <w:sz w:val="24"/>
          <w:rtl/>
        </w:rPr>
        <w:t>ו</w:t>
      </w:r>
      <w:r w:rsidR="00AD536E">
        <w:rPr>
          <w:rFonts w:hint="cs"/>
          <w:sz w:val="24"/>
          <w:rtl/>
        </w:rPr>
        <w:t xml:space="preserve">תוך קיום ביקורת שיפוטית על הגמשה </w:t>
      </w:r>
      <w:r w:rsidR="00001983">
        <w:rPr>
          <w:rFonts w:hint="cs"/>
          <w:sz w:val="24"/>
          <w:rtl/>
        </w:rPr>
        <w:t xml:space="preserve">חד צדדית </w:t>
      </w:r>
      <w:r w:rsidR="00AD536E">
        <w:rPr>
          <w:rFonts w:hint="cs"/>
          <w:sz w:val="24"/>
          <w:rtl/>
        </w:rPr>
        <w:t xml:space="preserve">זו. </w:t>
      </w:r>
      <w:r>
        <w:rPr>
          <w:rFonts w:hint="cs"/>
          <w:sz w:val="24"/>
          <w:rtl/>
        </w:rPr>
        <w:t xml:space="preserve"> </w:t>
      </w:r>
    </w:p>
    <w:p w:rsidR="007E35C6" w:rsidRPr="00084C31" w:rsidRDefault="007E35C6" w:rsidP="00084C31">
      <w:pPr>
        <w:pStyle w:val="Heading2"/>
        <w:rPr>
          <w:rFonts w:cs="David" w:hint="cs"/>
          <w:i w:val="0"/>
          <w:iCs w:val="0"/>
          <w:rtl/>
        </w:rPr>
      </w:pPr>
      <w:bookmarkStart w:id="27" w:name="_Toc151956823"/>
      <w:r w:rsidRPr="00084C31">
        <w:rPr>
          <w:rFonts w:cs="David" w:hint="cs"/>
          <w:i w:val="0"/>
          <w:iCs w:val="0"/>
          <w:rtl/>
        </w:rPr>
        <w:t>ו.7</w:t>
      </w:r>
      <w:r w:rsidR="009D2D57" w:rsidRPr="00084C31">
        <w:rPr>
          <w:rFonts w:cs="David" w:hint="cs"/>
          <w:i w:val="0"/>
          <w:iCs w:val="0"/>
          <w:rtl/>
        </w:rPr>
        <w:t>.</w:t>
      </w:r>
      <w:r w:rsidRPr="00084C31">
        <w:rPr>
          <w:rFonts w:cs="David" w:hint="cs"/>
          <w:i w:val="0"/>
          <w:iCs w:val="0"/>
          <w:rtl/>
        </w:rPr>
        <w:t xml:space="preserve"> החלטת הממונה: אישור המיזוג, התנגדות או אישור מותנה בתנאים</w:t>
      </w:r>
      <w:bookmarkEnd w:id="27"/>
      <w:r w:rsidRPr="00084C31">
        <w:rPr>
          <w:rFonts w:cs="David" w:hint="cs"/>
          <w:i w:val="0"/>
          <w:iCs w:val="0"/>
          <w:rtl/>
        </w:rPr>
        <w:t xml:space="preserve">  </w:t>
      </w:r>
    </w:p>
    <w:p w:rsidR="007E35C6" w:rsidRDefault="007E35C6" w:rsidP="00B52561">
      <w:pPr>
        <w:spacing w:after="240"/>
        <w:ind w:left="32"/>
        <w:rPr>
          <w:rFonts w:hint="cs"/>
          <w:sz w:val="24"/>
          <w:rtl/>
        </w:rPr>
      </w:pPr>
      <w:r>
        <w:rPr>
          <w:rFonts w:hint="cs"/>
          <w:sz w:val="24"/>
          <w:rtl/>
        </w:rPr>
        <w:t>בסיומו של הליך בדיקת המיזוג</w:t>
      </w:r>
      <w:r w:rsidR="00001983">
        <w:rPr>
          <w:rFonts w:hint="cs"/>
          <w:sz w:val="24"/>
          <w:rtl/>
        </w:rPr>
        <w:t>,</w:t>
      </w:r>
      <w:r>
        <w:rPr>
          <w:rFonts w:hint="cs"/>
          <w:sz w:val="24"/>
          <w:rtl/>
        </w:rPr>
        <w:t xml:space="preserve"> נדרש</w:t>
      </w:r>
      <w:r w:rsidR="00001983">
        <w:rPr>
          <w:rFonts w:hint="cs"/>
          <w:sz w:val="24"/>
          <w:rtl/>
        </w:rPr>
        <w:t>ת</w:t>
      </w:r>
      <w:r>
        <w:rPr>
          <w:rFonts w:hint="cs"/>
          <w:sz w:val="24"/>
          <w:rtl/>
        </w:rPr>
        <w:t xml:space="preserve"> הממונה להחליט אם לאשר</w:t>
      </w:r>
      <w:r w:rsidR="00001983">
        <w:rPr>
          <w:rFonts w:hint="cs"/>
          <w:sz w:val="24"/>
          <w:rtl/>
        </w:rPr>
        <w:t>ו</w:t>
      </w:r>
      <w:r>
        <w:rPr>
          <w:rFonts w:hint="cs"/>
          <w:sz w:val="24"/>
          <w:rtl/>
        </w:rPr>
        <w:t xml:space="preserve">, אם להתנגד לו או שמא להתנות </w:t>
      </w:r>
      <w:r w:rsidR="00001983">
        <w:rPr>
          <w:rFonts w:hint="cs"/>
          <w:sz w:val="24"/>
          <w:rtl/>
        </w:rPr>
        <w:t xml:space="preserve">את </w:t>
      </w:r>
      <w:r>
        <w:rPr>
          <w:rFonts w:hint="cs"/>
          <w:sz w:val="24"/>
          <w:rtl/>
        </w:rPr>
        <w:t>אישורו בתנאים. בעשות</w:t>
      </w:r>
      <w:r w:rsidR="00293A57">
        <w:rPr>
          <w:rFonts w:hint="cs"/>
          <w:sz w:val="24"/>
          <w:rtl/>
        </w:rPr>
        <w:t>ה</w:t>
      </w:r>
      <w:r>
        <w:rPr>
          <w:rFonts w:hint="cs"/>
          <w:sz w:val="24"/>
          <w:rtl/>
        </w:rPr>
        <w:t xml:space="preserve"> כן, מו</w:t>
      </w:r>
      <w:r w:rsidR="00293A57">
        <w:rPr>
          <w:rFonts w:hint="cs"/>
          <w:sz w:val="24"/>
          <w:rtl/>
        </w:rPr>
        <w:t xml:space="preserve">נחית </w:t>
      </w:r>
      <w:r>
        <w:rPr>
          <w:rFonts w:hint="cs"/>
          <w:sz w:val="24"/>
          <w:rtl/>
        </w:rPr>
        <w:t>הממונה על ידי המבחן המהותי הקבוע בסעיף 21 לחוק ולפיו:</w:t>
      </w:r>
    </w:p>
    <w:p w:rsidR="007E35C6" w:rsidRDefault="007E35C6" w:rsidP="00B52561">
      <w:pPr>
        <w:spacing w:after="240"/>
        <w:ind w:left="32"/>
        <w:rPr>
          <w:rFonts w:hint="cs"/>
          <w:sz w:val="24"/>
          <w:rtl/>
        </w:rPr>
      </w:pPr>
      <w:r>
        <w:rPr>
          <w:rFonts w:hint="cs"/>
          <w:sz w:val="24"/>
          <w:rtl/>
        </w:rPr>
        <w:t>"הממונה יתנגד למיזוג חברות או יתנה אותו בתנאים אם לדעתו קיים חשש סביר כי כתוצאה מן המיזוג כפי שהוצע תפגע באופן משמעותי התחרות באותו ענף או יפגע ה</w:t>
      </w:r>
      <w:r w:rsidR="00444F3C">
        <w:rPr>
          <w:rFonts w:hint="cs"/>
          <w:sz w:val="24"/>
          <w:rtl/>
        </w:rPr>
        <w:t xml:space="preserve">ציבור </w:t>
      </w:r>
      <w:r>
        <w:rPr>
          <w:rFonts w:hint="cs"/>
          <w:sz w:val="24"/>
          <w:rtl/>
        </w:rPr>
        <w:t xml:space="preserve">באחת מאלה: </w:t>
      </w:r>
    </w:p>
    <w:p w:rsidR="007E35C6" w:rsidRDefault="007E35C6" w:rsidP="00030656">
      <w:pPr>
        <w:numPr>
          <w:ilvl w:val="0"/>
          <w:numId w:val="19"/>
        </w:numPr>
        <w:tabs>
          <w:tab w:val="clear" w:pos="1800"/>
          <w:tab w:val="num" w:pos="1112"/>
        </w:tabs>
        <w:spacing w:after="240"/>
        <w:ind w:left="32" w:right="0" w:firstLine="0"/>
        <w:rPr>
          <w:rFonts w:hint="cs"/>
          <w:sz w:val="24"/>
          <w:rtl/>
        </w:rPr>
      </w:pPr>
      <w:r>
        <w:rPr>
          <w:rFonts w:hint="cs"/>
          <w:sz w:val="24"/>
          <w:rtl/>
        </w:rPr>
        <w:t>רמת המחירים של נכס או שירות.</w:t>
      </w:r>
    </w:p>
    <w:p w:rsidR="007E35C6" w:rsidRDefault="007E35C6" w:rsidP="00030656">
      <w:pPr>
        <w:numPr>
          <w:ilvl w:val="0"/>
          <w:numId w:val="19"/>
        </w:numPr>
        <w:tabs>
          <w:tab w:val="clear" w:pos="1800"/>
          <w:tab w:val="num" w:pos="1112"/>
        </w:tabs>
        <w:spacing w:after="240"/>
        <w:ind w:left="32" w:right="0" w:firstLine="0"/>
        <w:rPr>
          <w:rFonts w:hint="cs"/>
          <w:sz w:val="24"/>
        </w:rPr>
      </w:pPr>
      <w:r>
        <w:rPr>
          <w:rFonts w:hint="cs"/>
          <w:sz w:val="24"/>
          <w:rtl/>
        </w:rPr>
        <w:t xml:space="preserve">איכות נמוכה של נכס או שירות. </w:t>
      </w:r>
    </w:p>
    <w:p w:rsidR="007E35C6" w:rsidRDefault="007E35C6" w:rsidP="00030656">
      <w:pPr>
        <w:numPr>
          <w:ilvl w:val="0"/>
          <w:numId w:val="19"/>
        </w:numPr>
        <w:tabs>
          <w:tab w:val="clear" w:pos="1800"/>
          <w:tab w:val="num" w:pos="1112"/>
        </w:tabs>
        <w:spacing w:after="240"/>
        <w:ind w:left="32" w:right="0" w:firstLine="0"/>
        <w:rPr>
          <w:rFonts w:hint="cs"/>
          <w:sz w:val="24"/>
        </w:rPr>
      </w:pPr>
      <w:r>
        <w:rPr>
          <w:rFonts w:hint="cs"/>
          <w:sz w:val="24"/>
          <w:rtl/>
        </w:rPr>
        <w:t xml:space="preserve">הכמות המסופקת של הנכס או היקף השירות, או סדירות האספקה ותנאיה. </w:t>
      </w:r>
    </w:p>
    <w:p w:rsidR="007E35C6" w:rsidRDefault="007E35C6" w:rsidP="002F2ABA">
      <w:pPr>
        <w:spacing w:after="240"/>
        <w:ind w:left="32"/>
        <w:rPr>
          <w:rFonts w:hint="cs"/>
          <w:sz w:val="24"/>
          <w:rtl/>
        </w:rPr>
      </w:pPr>
      <w:r>
        <w:rPr>
          <w:rFonts w:hint="cs"/>
          <w:sz w:val="24"/>
          <w:rtl/>
        </w:rPr>
        <w:t xml:space="preserve">בהיעדר חשש סביר לפגיעה משמעותית בתחרות </w:t>
      </w:r>
      <w:r w:rsidR="00293A57">
        <w:rPr>
          <w:rFonts w:hint="cs"/>
          <w:sz w:val="24"/>
          <w:rtl/>
        </w:rPr>
        <w:t xml:space="preserve">או בציבור </w:t>
      </w:r>
      <w:r w:rsidR="002F2ABA">
        <w:rPr>
          <w:rFonts w:hint="cs"/>
          <w:sz w:val="24"/>
          <w:rtl/>
        </w:rPr>
        <w:t xml:space="preserve">תאשר הממונה את </w:t>
      </w:r>
      <w:r>
        <w:rPr>
          <w:rFonts w:hint="cs"/>
          <w:sz w:val="24"/>
          <w:rtl/>
        </w:rPr>
        <w:t>המיזוג. מנגד, לא בכל פעם שמתעורר חשש סביר לפגיעה בתחרות נדרש</w:t>
      </w:r>
      <w:r w:rsidR="00293A57">
        <w:rPr>
          <w:rFonts w:hint="cs"/>
          <w:sz w:val="24"/>
          <w:rtl/>
        </w:rPr>
        <w:t>ת</w:t>
      </w:r>
      <w:r>
        <w:rPr>
          <w:rFonts w:hint="cs"/>
          <w:sz w:val="24"/>
          <w:rtl/>
        </w:rPr>
        <w:t xml:space="preserve"> הממונה להתנגד למיזוג. במקרים מסוימים ניתן לנטרל את הבעיה התחרותית באמצעות תנאים מתאימים, שאז תועדף חלופה זו על פני התנגדות למיזוג. </w:t>
      </w:r>
    </w:p>
    <w:p w:rsidR="00C55960" w:rsidRPr="007E35C6" w:rsidRDefault="007E35C6" w:rsidP="00B52561">
      <w:pPr>
        <w:spacing w:after="240"/>
        <w:ind w:left="32"/>
        <w:rPr>
          <w:rFonts w:hint="cs"/>
          <w:szCs w:val="22"/>
          <w:rtl/>
        </w:rPr>
      </w:pPr>
      <w:r>
        <w:rPr>
          <w:rFonts w:hint="cs"/>
          <w:sz w:val="24"/>
          <w:rtl/>
        </w:rPr>
        <w:t>בדיקת ההשפעות התחרותיות המסתברות של עסקת המיזוג נעשית בתהליך שיטתי ומורכב, תוך התייחסות למגוון רחב של פרמטרים משפיעים. הנחייה באשר לנסיבות בה</w:t>
      </w:r>
      <w:r w:rsidR="00E00891">
        <w:rPr>
          <w:rFonts w:hint="cs"/>
          <w:sz w:val="24"/>
          <w:rtl/>
        </w:rPr>
        <w:t>ן</w:t>
      </w:r>
      <w:r>
        <w:rPr>
          <w:rFonts w:hint="cs"/>
          <w:sz w:val="24"/>
          <w:rtl/>
        </w:rPr>
        <w:t xml:space="preserve"> קם תרחיש נזק ממשי לפגיעה בתחרות מצויה בהחלטות הממונה אשר ניתנו במהלך השנים. מסמך זה בא להנחות באשר להיבטים אחרים, משפטים ומעשיים, של הפיקוח על מיזוגים שעד כה לא הועלו במרוכז על הכתב. ניתוח מעמיק של הפרמטרים המשמשים את הרשות לניתוח תחרותי של עסקאות מיזוג ייעשה במסגרת נפרדת, בבוא העת</w:t>
      </w:r>
      <w:r>
        <w:rPr>
          <w:rFonts w:hint="cs"/>
          <w:szCs w:val="22"/>
          <w:rtl/>
        </w:rPr>
        <w:t xml:space="preserve">. </w:t>
      </w:r>
    </w:p>
    <w:sectPr w:rsidR="00C55960" w:rsidRPr="007E35C6" w:rsidSect="00A9667B">
      <w:headerReference w:type="even" r:id="rId8"/>
      <w:headerReference w:type="default" r:id="rId9"/>
      <w:headerReference w:type="first" r:id="rId10"/>
      <w:pgSz w:w="11906" w:h="16838" w:code="9"/>
      <w:pgMar w:top="1440" w:right="1797" w:bottom="1440" w:left="1797" w:header="709" w:footer="709" w:gutter="0"/>
      <w:cols w:space="708"/>
      <w:titlePg/>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0522" w:rsidRDefault="00440522">
      <w:r>
        <w:separator/>
      </w:r>
    </w:p>
  </w:endnote>
  <w:endnote w:type="continuationSeparator" w:id="0">
    <w:p w:rsidR="00440522" w:rsidRDefault="00440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avid">
    <w:panose1 w:val="020E0502060401010101"/>
    <w:charset w:val="B1"/>
    <w:family w:val="swiss"/>
    <w:pitch w:val="variable"/>
    <w:sig w:usb0="00000801" w:usb1="00000000" w:usb2="00000000" w:usb3="00000000" w:csb0="0000002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arkisim">
    <w:panose1 w:val="020E0502050101010101"/>
    <w:charset w:val="B1"/>
    <w:family w:val="swiss"/>
    <w:pitch w:val="variable"/>
    <w:sig w:usb0="00000801" w:usb1="00000000" w:usb2="00000000" w:usb3="00000000" w:csb0="0000002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0522" w:rsidRDefault="00440522">
      <w:r>
        <w:separator/>
      </w:r>
    </w:p>
  </w:footnote>
  <w:footnote w:type="continuationSeparator" w:id="0">
    <w:p w:rsidR="00440522" w:rsidRDefault="00440522">
      <w:r>
        <w:continuationSeparator/>
      </w:r>
    </w:p>
  </w:footnote>
  <w:footnote w:id="1">
    <w:p w:rsidR="00293CD3" w:rsidRDefault="00293CD3" w:rsidP="009430B1">
      <w:pPr>
        <w:pStyle w:val="FootnoteText"/>
        <w:spacing w:before="100" w:beforeAutospacing="1" w:line="240" w:lineRule="auto"/>
        <w:rPr>
          <w:rFonts w:hint="cs"/>
        </w:rPr>
      </w:pPr>
      <w:r>
        <w:rPr>
          <w:rStyle w:val="FootnoteReference"/>
        </w:rPr>
        <w:footnoteRef/>
      </w:r>
      <w:r>
        <w:rPr>
          <w:rtl/>
        </w:rPr>
        <w:t xml:space="preserve"> </w:t>
      </w:r>
      <w:r w:rsidRPr="00013F01">
        <w:rPr>
          <w:rFonts w:hint="cs"/>
          <w:b/>
          <w:bCs/>
          <w:rtl/>
        </w:rPr>
        <w:t>רכישת מניות חברת נחושתן על ידי מר גרשון זלקינד</w:t>
      </w:r>
      <w:r>
        <w:rPr>
          <w:rFonts w:hint="cs"/>
          <w:b/>
          <w:bCs/>
          <w:rtl/>
        </w:rPr>
        <w:t xml:space="preserve"> - קביעה בגין מיזוג</w:t>
      </w:r>
      <w:r>
        <w:rPr>
          <w:rFonts w:hint="cs"/>
          <w:rtl/>
        </w:rPr>
        <w:t xml:space="preserve">; 1992 </w:t>
      </w:r>
      <w:r>
        <w:rPr>
          <w:rFonts w:hint="cs"/>
          <w:b/>
          <w:bCs/>
          <w:rtl/>
        </w:rPr>
        <w:t>הגבלים עסקיים</w:t>
      </w:r>
      <w:r>
        <w:rPr>
          <w:rFonts w:hint="cs"/>
          <w:sz w:val="18"/>
          <w:szCs w:val="18"/>
          <w:rtl/>
        </w:rPr>
        <w:t xml:space="preserve"> </w:t>
      </w:r>
      <w:r>
        <w:rPr>
          <w:rFonts w:hint="cs"/>
          <w:rtl/>
        </w:rPr>
        <w:t>3001296 (להלן : "</w:t>
      </w:r>
      <w:r w:rsidRPr="009B7F72">
        <w:rPr>
          <w:rFonts w:hint="cs"/>
          <w:b/>
          <w:bCs/>
          <w:rtl/>
        </w:rPr>
        <w:t>פרשת זלקינד</w:t>
      </w:r>
      <w:r>
        <w:rPr>
          <w:rFonts w:hint="cs"/>
          <w:rtl/>
        </w:rPr>
        <w:t>").</w:t>
      </w:r>
    </w:p>
  </w:footnote>
  <w:footnote w:id="2">
    <w:p w:rsidR="00293CD3" w:rsidRPr="00906C97" w:rsidRDefault="00293CD3" w:rsidP="009430B1">
      <w:pPr>
        <w:pStyle w:val="FootnoteText"/>
        <w:spacing w:before="100" w:beforeAutospacing="1" w:line="240" w:lineRule="auto"/>
        <w:rPr>
          <w:rFonts w:hint="cs"/>
        </w:rPr>
      </w:pPr>
      <w:r w:rsidRPr="00906C97">
        <w:rPr>
          <w:rStyle w:val="FootnoteReference"/>
        </w:rPr>
        <w:footnoteRef/>
      </w:r>
      <w:r w:rsidRPr="00906C97">
        <w:rPr>
          <w:rtl/>
        </w:rPr>
        <w:t xml:space="preserve"> </w:t>
      </w:r>
      <w:r w:rsidRPr="00906C97">
        <w:rPr>
          <w:rFonts w:hint="cs"/>
          <w:b/>
          <w:bCs/>
          <w:rtl/>
        </w:rPr>
        <w:t>החלטת הממונה בדבר אישור מיזוג בתנאים  - תנובה ואסם השקעות בע"מ</w:t>
      </w:r>
      <w:r>
        <w:rPr>
          <w:rFonts w:hint="cs"/>
          <w:rtl/>
        </w:rPr>
        <w:t>; 1996</w:t>
      </w:r>
      <w:r w:rsidRPr="00906C97">
        <w:rPr>
          <w:rFonts w:hint="cs"/>
          <w:rtl/>
        </w:rPr>
        <w:t xml:space="preserve"> </w:t>
      </w:r>
      <w:r w:rsidRPr="00906C97">
        <w:rPr>
          <w:rFonts w:hint="cs"/>
          <w:b/>
          <w:bCs/>
          <w:rtl/>
        </w:rPr>
        <w:t>הגבלים עסקיים</w:t>
      </w:r>
      <w:r w:rsidRPr="00906C97">
        <w:rPr>
          <w:rFonts w:hint="cs"/>
          <w:rtl/>
        </w:rPr>
        <w:t xml:space="preserve"> 3001310</w:t>
      </w:r>
      <w:r>
        <w:rPr>
          <w:rFonts w:hint="cs"/>
          <w:rtl/>
        </w:rPr>
        <w:t xml:space="preserve"> (להלן : "</w:t>
      </w:r>
      <w:r w:rsidRPr="009B7F72">
        <w:rPr>
          <w:rFonts w:hint="cs"/>
          <w:b/>
          <w:bCs/>
          <w:rtl/>
        </w:rPr>
        <w:t>פרשת תנובה</w:t>
      </w:r>
      <w:r>
        <w:rPr>
          <w:rFonts w:hint="cs"/>
          <w:rtl/>
        </w:rPr>
        <w:t>").</w:t>
      </w:r>
    </w:p>
  </w:footnote>
  <w:footnote w:id="3">
    <w:p w:rsidR="00293CD3" w:rsidRDefault="00293CD3" w:rsidP="001F2104">
      <w:pPr>
        <w:pStyle w:val="FootnoteText"/>
        <w:spacing w:before="100" w:beforeAutospacing="1" w:line="240" w:lineRule="auto"/>
        <w:rPr>
          <w:rFonts w:hint="cs"/>
          <w:rtl/>
        </w:rPr>
      </w:pPr>
      <w:r>
        <w:rPr>
          <w:rStyle w:val="FootnoteReference"/>
        </w:rPr>
        <w:footnoteRef/>
      </w:r>
      <w:r>
        <w:rPr>
          <w:rtl/>
        </w:rPr>
        <w:t xml:space="preserve"> </w:t>
      </w:r>
      <w:r>
        <w:rPr>
          <w:rFonts w:hint="cs"/>
          <w:rtl/>
        </w:rPr>
        <w:t xml:space="preserve">מובן שאין זו רשימה ממצה של התסריטים  האפשריים לפגיעה תחרותית. השאלה באילו נסיבות קם תרחיש נזק ממשי לפגיעה תחרותית חורגת ממסגרת הדיון של הנחיות אלה ותשובה לה מצויה בהחלטות הממונה על הגבלים עסקיים שניתנו במשך השנים. </w:t>
      </w:r>
    </w:p>
  </w:footnote>
  <w:footnote w:id="4">
    <w:p w:rsidR="00293CD3" w:rsidRDefault="00293CD3" w:rsidP="001F2104">
      <w:pPr>
        <w:pStyle w:val="FootnoteText"/>
        <w:spacing w:before="100" w:beforeAutospacing="1" w:line="240" w:lineRule="auto"/>
        <w:rPr>
          <w:rFonts w:hint="cs"/>
          <w:rtl/>
        </w:rPr>
      </w:pPr>
      <w:r>
        <w:rPr>
          <w:rStyle w:val="FootnoteReference"/>
        </w:rPr>
        <w:footnoteRef/>
      </w:r>
      <w:r>
        <w:rPr>
          <w:rtl/>
        </w:rPr>
        <w:t xml:space="preserve"> </w:t>
      </w:r>
      <w:r>
        <w:rPr>
          <w:rFonts w:hint="cs"/>
          <w:rtl/>
        </w:rPr>
        <w:t xml:space="preserve">ההבחנה בין הסדר כובל למיזוג חברות אינה תמיד דבר שקל לענות בו. מדובר בסוגיה המתעוררת בהקשרים שונים (מיזמים משותפים, הסכמים ארוכי טווח ועוד) ואין בנמצא מבחן אחד ממצה הנותן מענה לכל קשת העסקאות הרלוונטיות. בתחום המיזמים המשותפים נודעת חשיבות להבחנה שבין מיזם היוצר פעילות חדשה (אשר הנטייה תהייה לסווגו כהסדר כובל) ובין מיזם שעניינו הקניית אחיזה בפעילות קיימת של מי מהצדדים לו (אשר הנטייה תהייה לסווגו כמיזוג חברות). לעניין זה ראה גם </w:t>
      </w:r>
      <w:r w:rsidRPr="00F10BCE">
        <w:rPr>
          <w:rFonts w:hint="cs"/>
          <w:b/>
          <w:bCs/>
          <w:rtl/>
        </w:rPr>
        <w:t>קביעה בעניין הסדר כובל בין חברות הסעה ביעדים תיור בע"מ</w:t>
      </w:r>
      <w:r>
        <w:rPr>
          <w:rFonts w:hint="cs"/>
          <w:rtl/>
        </w:rPr>
        <w:t xml:space="preserve">; 2001 </w:t>
      </w:r>
      <w:r w:rsidRPr="00F10BCE">
        <w:rPr>
          <w:rFonts w:hint="cs"/>
          <w:b/>
          <w:bCs/>
          <w:rtl/>
        </w:rPr>
        <w:t>הגבלים עסקיים</w:t>
      </w:r>
      <w:r>
        <w:rPr>
          <w:rFonts w:hint="cs"/>
          <w:rtl/>
        </w:rPr>
        <w:t xml:space="preserve"> 3012980. בין השיקולים הנוספים הנבחנים בקשר עם ההבחנה בין הסדר כובל למיזוג ניתן למנות את טיב ועוצמת הזיקה הנוצרת בין הצדדים לעסקה, מידת האינטגרציה המבנית הגלומה בעסקה, יציבות הזיקה במישור הזמן ועוד.  יודגש עם זאת, כי ההבחנה בין מיזוג חברות לבין הסדר כובל אינה מבוצעת באמצעות החלה טכנית ופורמלית של מבחן כזה או אחר, אלא על יסוד התבוננות במהות הכלכלית </w:t>
      </w:r>
      <w:r>
        <w:rPr>
          <w:rtl/>
        </w:rPr>
        <w:t>–</w:t>
      </w:r>
      <w:r>
        <w:rPr>
          <w:rFonts w:hint="cs"/>
          <w:rtl/>
        </w:rPr>
        <w:t xml:space="preserve"> עסקית של המהלך, מהות הנלמדת באמצעות מבחני עזר שטיבם ומשקלם משתנה בהתאם למקרה ולעניין. כך למשל, מיזם שעניינו שיווק משותף יסווג כמעט תמיד כהסדר כובל, חרף העובדה שמוזרמת לתוכו פעילות קיימת של הצדדים. טעם עיקרי לכך הוא שמהותם של מיזמי שיווק משותף היא, על פי רוב, תיאום התנהגותם המסחרית של הורי המיזם.  </w:t>
      </w:r>
    </w:p>
  </w:footnote>
  <w:footnote w:id="5">
    <w:p w:rsidR="00293CD3" w:rsidRDefault="00293CD3" w:rsidP="001F2104">
      <w:pPr>
        <w:pStyle w:val="FootnoteText"/>
        <w:spacing w:before="100" w:beforeAutospacing="1" w:line="240" w:lineRule="auto"/>
        <w:rPr>
          <w:rFonts w:hint="cs"/>
        </w:rPr>
      </w:pPr>
      <w:r>
        <w:rPr>
          <w:rStyle w:val="FootnoteReference"/>
        </w:rPr>
        <w:footnoteRef/>
      </w:r>
      <w:r>
        <w:t xml:space="preserve"> </w:t>
      </w:r>
      <w:r>
        <w:rPr>
          <w:rFonts w:hint="cs"/>
          <w:rtl/>
        </w:rPr>
        <w:t xml:space="preserve"> לעתים ההשפעה היא גם הפוכה: טול מקרה בו רוכש עסק אחד רק את הזכות לקבלת דיבידנד בעסק אחר המתחרה בו.  גם עסקה כזו עשויה להקים מיזוג חברות אף שאינה מקנה לרוכש זכות ישירה להשתתף בקבלת החלטות בעסק הנרכש. הטעם לכך הוא שמשעה שקמה לרוכש טובת הנאה מרווחי העסק הנרכש המתחרה בו, קיימת עלילות סבירה להפחתת התחרות מצידו, שהרי אם יתחרה בעוצמה רבה בעסקו האחר </w:t>
      </w:r>
      <w:r>
        <w:rPr>
          <w:rtl/>
        </w:rPr>
        <w:t>–</w:t>
      </w:r>
      <w:r>
        <w:rPr>
          <w:rFonts w:hint="cs"/>
          <w:rtl/>
        </w:rPr>
        <w:t xml:space="preserve"> צפוי הוא לפגוע בקניינו. בנוסף, משעה שנרכשו הזכויות מביאים בחשבון מקבלי ההחלטות בעסק הנרכש גם את טובתו של בעל המניות החדש, ומצב זה עלול להפחית את התחרות בין העסקים. לכן קובע החוק כי רכישת למעלה מרבע מהזכות להשתתף ברווחי התאגיד מקימה בהכרח מיזוג חברות. בהקשר זה יש לציין כי בישראל לא אימץ המחוקק את הפטור הקיים בארה"ב מפיקוח על מיזוגים, ב- </w:t>
      </w:r>
      <w:r>
        <w:t>Clayton Act</w:t>
      </w:r>
      <w:r>
        <w:rPr>
          <w:rFonts w:hint="cs"/>
          <w:rtl/>
        </w:rPr>
        <w:t>, לעסקאות של רכישת אינטרס בחברה "לשם השקעה בלבד".</w:t>
      </w:r>
    </w:p>
  </w:footnote>
  <w:footnote w:id="6">
    <w:p w:rsidR="00293CD3" w:rsidRDefault="00293CD3" w:rsidP="003B5C56">
      <w:pPr>
        <w:pStyle w:val="FootnoteText"/>
        <w:spacing w:before="100" w:beforeAutospacing="1" w:line="240" w:lineRule="auto"/>
        <w:rPr>
          <w:rFonts w:hint="cs"/>
          <w:rtl/>
        </w:rPr>
      </w:pPr>
      <w:r w:rsidRPr="00C6389C">
        <w:rPr>
          <w:rStyle w:val="FootnoteReference"/>
        </w:rPr>
        <w:footnoteRef/>
      </w:r>
      <w:r w:rsidRPr="00C6389C">
        <w:rPr>
          <w:rtl/>
        </w:rPr>
        <w:t xml:space="preserve"> </w:t>
      </w:r>
      <w:r w:rsidRPr="00C6389C">
        <w:rPr>
          <w:rFonts w:hint="cs"/>
          <w:rtl/>
        </w:rPr>
        <w:t>פרשנות תכליתית ומרחיבה של ההיגד</w:t>
      </w:r>
      <w:r>
        <w:rPr>
          <w:rFonts w:hint="cs"/>
          <w:rtl/>
        </w:rPr>
        <w:t xml:space="preserve"> </w:t>
      </w:r>
      <w:r w:rsidRPr="00C6389C">
        <w:rPr>
          <w:rFonts w:hint="cs"/>
          <w:rtl/>
        </w:rPr>
        <w:t xml:space="preserve">"מיזוג חברות" אינה נחלתו של הדין בישראל בלבד, אלא היא מאפיין יסודי של משטר הפיקוח על מיזוגים בעולם כולו. כך למשל, </w:t>
      </w:r>
      <w:r w:rsidRPr="00A40CED">
        <w:rPr>
          <w:rFonts w:hint="cs"/>
          <w:rtl/>
        </w:rPr>
        <w:t>דיני המיזוגים האמריקאיים</w:t>
      </w:r>
      <w:r w:rsidRPr="00C6389C">
        <w:rPr>
          <w:rFonts w:hint="cs"/>
          <w:rtl/>
        </w:rPr>
        <w:t xml:space="preserve"> חלים על מארג רחב ביותר של עסקאות, במניות ובנכסים</w:t>
      </w:r>
      <w:r>
        <w:rPr>
          <w:rFonts w:hint="cs"/>
          <w:rtl/>
        </w:rPr>
        <w:t>,</w:t>
      </w:r>
      <w:r w:rsidRPr="00C6389C">
        <w:rPr>
          <w:rFonts w:hint="cs"/>
          <w:rtl/>
        </w:rPr>
        <w:t xml:space="preserve"> </w:t>
      </w:r>
      <w:r>
        <w:rPr>
          <w:rFonts w:hint="cs"/>
          <w:rtl/>
        </w:rPr>
        <w:t xml:space="preserve">ראה למשל: </w:t>
      </w:r>
      <w:r>
        <w:t xml:space="preserve">ABA, </w:t>
      </w:r>
      <w:r w:rsidRPr="003B5C56">
        <w:rPr>
          <w:b/>
          <w:bCs/>
          <w:i/>
          <w:iCs/>
        </w:rPr>
        <w:t xml:space="preserve">Antitrust Law Developments (Fifth), </w:t>
      </w:r>
      <w:r>
        <w:t xml:space="preserve">2002, Vol. I, p.319 </w:t>
      </w:r>
      <w:r>
        <w:rPr>
          <w:rFonts w:hint="cs"/>
          <w:rtl/>
        </w:rPr>
        <w:t xml:space="preserve"> וההחלטות הנזכרות שם.</w:t>
      </w:r>
    </w:p>
  </w:footnote>
  <w:footnote w:id="7">
    <w:p w:rsidR="00293CD3" w:rsidRDefault="00293CD3" w:rsidP="009430B1">
      <w:pPr>
        <w:pStyle w:val="FootnoteText"/>
        <w:spacing w:before="100" w:beforeAutospacing="1" w:line="240" w:lineRule="auto"/>
        <w:rPr>
          <w:rFonts w:hint="cs"/>
          <w:rtl/>
        </w:rPr>
      </w:pPr>
      <w:r>
        <w:rPr>
          <w:rStyle w:val="FootnoteReference"/>
        </w:rPr>
        <w:footnoteRef/>
      </w:r>
      <w:r>
        <w:t xml:space="preserve"> </w:t>
      </w:r>
      <w:r>
        <w:rPr>
          <w:rFonts w:hint="cs"/>
          <w:rtl/>
        </w:rPr>
        <w:t xml:space="preserve"> בחכתו של סעיף 17 לחוק יעלו מפעם לפעם גם מיזוגים שנחזים להיות (לפחות על פניהם) נעדרי כל השפעה תחרותית. אולם, </w:t>
      </w:r>
      <w:r>
        <w:rPr>
          <w:rFonts w:hint="cs"/>
          <w:b/>
          <w:bCs/>
          <w:rtl/>
        </w:rPr>
        <w:t>מיזוגים אלה חייבים גם הם בקבלת אישור הממונה</w:t>
      </w:r>
      <w:r>
        <w:rPr>
          <w:rFonts w:hint="cs"/>
          <w:rtl/>
        </w:rPr>
        <w:t xml:space="preserve">, אם מתקיימת בהם אחת או יותר מן החלופות הקבועות בסעיף 17 לחוק.   </w:t>
      </w:r>
    </w:p>
  </w:footnote>
  <w:footnote w:id="8">
    <w:p w:rsidR="00293CD3" w:rsidRDefault="00293CD3" w:rsidP="009430B1">
      <w:pPr>
        <w:pStyle w:val="FootnoteText"/>
        <w:spacing w:before="100" w:beforeAutospacing="1"/>
        <w:rPr>
          <w:rFonts w:hint="cs"/>
          <w:rtl/>
        </w:rPr>
      </w:pPr>
      <w:r>
        <w:rPr>
          <w:rStyle w:val="FootnoteReference"/>
        </w:rPr>
        <w:footnoteRef/>
      </w:r>
      <w:r>
        <w:rPr>
          <w:rtl/>
        </w:rPr>
        <w:t xml:space="preserve"> </w:t>
      </w:r>
      <w:r w:rsidRPr="0023546B">
        <w:rPr>
          <w:rFonts w:hint="cs"/>
          <w:rtl/>
        </w:rPr>
        <w:t xml:space="preserve">למועד הראשון שבו יקום מיזוג חברות ראו קביעה </w:t>
      </w:r>
      <w:r w:rsidRPr="0023546B">
        <w:rPr>
          <w:b/>
          <w:bCs/>
          <w:rtl/>
        </w:rPr>
        <w:t>ב</w:t>
      </w:r>
      <w:r w:rsidRPr="0023546B">
        <w:rPr>
          <w:rFonts w:hint="cs"/>
          <w:b/>
          <w:bCs/>
          <w:rtl/>
        </w:rPr>
        <w:t xml:space="preserve">עניין </w:t>
      </w:r>
      <w:r w:rsidRPr="0023546B">
        <w:rPr>
          <w:b/>
          <w:bCs/>
          <w:rtl/>
        </w:rPr>
        <w:t>מ</w:t>
      </w:r>
      <w:r w:rsidRPr="0023546B">
        <w:rPr>
          <w:rFonts w:hint="cs"/>
          <w:b/>
          <w:bCs/>
          <w:rtl/>
        </w:rPr>
        <w:t>יזוג בפועל של החברות גולקל 1992 בע"מ וצובר חברה למסחר בע"מ</w:t>
      </w:r>
      <w:r w:rsidRPr="0023546B">
        <w:rPr>
          <w:rFonts w:hint="cs"/>
          <w:rtl/>
        </w:rPr>
        <w:t xml:space="preserve">, 1998, </w:t>
      </w:r>
      <w:r w:rsidRPr="0023546B">
        <w:rPr>
          <w:rFonts w:hint="cs"/>
          <w:b/>
          <w:bCs/>
          <w:rtl/>
        </w:rPr>
        <w:t>הגבלים עסקיים</w:t>
      </w:r>
      <w:r w:rsidRPr="0023546B">
        <w:rPr>
          <w:rFonts w:hint="cs"/>
          <w:rtl/>
        </w:rPr>
        <w:t xml:space="preserve"> 3001329</w:t>
      </w:r>
      <w:r>
        <w:rPr>
          <w:rFonts w:hint="cs"/>
          <w:rtl/>
        </w:rPr>
        <w:t xml:space="preserve"> (להלן : "</w:t>
      </w:r>
      <w:r>
        <w:rPr>
          <w:rFonts w:hint="cs"/>
          <w:b/>
          <w:bCs/>
          <w:rtl/>
        </w:rPr>
        <w:t>עניין צובר גולקל</w:t>
      </w:r>
      <w:r>
        <w:rPr>
          <w:rFonts w:hint="cs"/>
          <w:rtl/>
        </w:rPr>
        <w:t>")</w:t>
      </w:r>
    </w:p>
  </w:footnote>
  <w:footnote w:id="9">
    <w:p w:rsidR="00293CD3" w:rsidRPr="00775FEE" w:rsidRDefault="00293CD3" w:rsidP="00C867E2">
      <w:pPr>
        <w:pStyle w:val="FootnoteText"/>
        <w:spacing w:before="100" w:beforeAutospacing="1" w:line="240" w:lineRule="auto"/>
        <w:rPr>
          <w:rFonts w:hint="cs"/>
          <w:rtl/>
        </w:rPr>
      </w:pPr>
      <w:r>
        <w:rPr>
          <w:rStyle w:val="FootnoteReference"/>
        </w:rPr>
        <w:footnoteRef/>
      </w:r>
      <w:r>
        <w:rPr>
          <w:rFonts w:hint="cs"/>
          <w:rtl/>
        </w:rPr>
        <w:t xml:space="preserve"> </w:t>
      </w:r>
      <w:r>
        <w:t xml:space="preserve">P.H.Areeda, H.Hovenkamp, J. Solow, </w:t>
      </w:r>
      <w:r w:rsidRPr="00F8306A">
        <w:rPr>
          <w:b/>
          <w:bCs/>
          <w:i/>
          <w:iCs/>
        </w:rPr>
        <w:t>Antitrust Law</w:t>
      </w:r>
      <w:r>
        <w:t xml:space="preserve"> (2004) Vol. IVA, </w:t>
      </w:r>
      <w:r>
        <w:rPr>
          <w:rFonts w:hint="cs"/>
        </w:rPr>
        <w:t>¶</w:t>
      </w:r>
      <w:r>
        <w:t>990C1</w:t>
      </w:r>
      <w:r>
        <w:rPr>
          <w:rFonts w:hint="cs"/>
          <w:rtl/>
        </w:rPr>
        <w:t>.</w:t>
      </w:r>
    </w:p>
  </w:footnote>
  <w:footnote w:id="10">
    <w:p w:rsidR="00293CD3" w:rsidRDefault="00293CD3" w:rsidP="009430B1">
      <w:pPr>
        <w:pStyle w:val="FootnoteText"/>
        <w:spacing w:before="100" w:beforeAutospacing="1" w:line="240" w:lineRule="auto"/>
        <w:rPr>
          <w:rFonts w:hint="cs"/>
        </w:rPr>
      </w:pPr>
      <w:r>
        <w:rPr>
          <w:rStyle w:val="FootnoteReference"/>
        </w:rPr>
        <w:footnoteRef/>
      </w:r>
      <w:r>
        <w:rPr>
          <w:rtl/>
        </w:rPr>
        <w:t xml:space="preserve"> </w:t>
      </w:r>
      <w:r>
        <w:rPr>
          <w:rFonts w:hint="cs"/>
          <w:rtl/>
        </w:rPr>
        <w:t xml:space="preserve">ראה בש"א 916/03 </w:t>
      </w:r>
      <w:r w:rsidRPr="00A40CED">
        <w:rPr>
          <w:rFonts w:hint="cs"/>
          <w:b/>
          <w:bCs/>
          <w:rtl/>
        </w:rPr>
        <w:t xml:space="preserve">הממונה על הגבלים עסקיים נ' בראון </w:t>
      </w:r>
      <w:r w:rsidRPr="00A40CED">
        <w:rPr>
          <w:b/>
          <w:bCs/>
          <w:rtl/>
        </w:rPr>
        <w:t>–</w:t>
      </w:r>
      <w:r w:rsidRPr="00A40CED">
        <w:rPr>
          <w:rFonts w:hint="cs"/>
          <w:b/>
          <w:bCs/>
          <w:rtl/>
        </w:rPr>
        <w:t xml:space="preserve"> פישמן תקשורת בע"מ,</w:t>
      </w:r>
      <w:r>
        <w:rPr>
          <w:rFonts w:hint="cs"/>
          <w:rtl/>
        </w:rPr>
        <w:t xml:space="preserve"> פדאור (לא פורסם) 04 (3) 379.</w:t>
      </w:r>
    </w:p>
  </w:footnote>
  <w:footnote w:id="11">
    <w:p w:rsidR="00293CD3" w:rsidRDefault="00293CD3" w:rsidP="009430B1">
      <w:pPr>
        <w:pStyle w:val="FootnoteText"/>
        <w:spacing w:before="100" w:beforeAutospacing="1" w:line="240" w:lineRule="auto"/>
        <w:rPr>
          <w:rFonts w:hint="cs"/>
          <w:rtl/>
        </w:rPr>
      </w:pPr>
      <w:r>
        <w:rPr>
          <w:rStyle w:val="FootnoteReference"/>
        </w:rPr>
        <w:footnoteRef/>
      </w:r>
      <w:r>
        <w:rPr>
          <w:rtl/>
        </w:rPr>
        <w:t xml:space="preserve"> </w:t>
      </w:r>
      <w:r>
        <w:rPr>
          <w:rFonts w:hint="cs"/>
          <w:rtl/>
        </w:rPr>
        <w:t xml:space="preserve">להנחיה מפורטת בדבר פעולות שביצוען ייחשב כמפר את חובת ההמתנה, </w:t>
      </w:r>
      <w:r w:rsidRPr="00620582">
        <w:rPr>
          <w:rFonts w:hint="cs"/>
          <w:sz w:val="18"/>
          <w:szCs w:val="18"/>
          <w:rtl/>
        </w:rPr>
        <w:t xml:space="preserve">ראה </w:t>
      </w:r>
      <w:r w:rsidRPr="0070361C">
        <w:rPr>
          <w:rFonts w:hint="cs"/>
          <w:b/>
          <w:bCs/>
          <w:sz w:val="18"/>
          <w:szCs w:val="18"/>
          <w:rtl/>
        </w:rPr>
        <w:t>מיזוג בפועל גולקל צ</w:t>
      </w:r>
      <w:r>
        <w:rPr>
          <w:rFonts w:hint="cs"/>
          <w:b/>
          <w:bCs/>
          <w:sz w:val="18"/>
          <w:szCs w:val="18"/>
          <w:rtl/>
        </w:rPr>
        <w:t>ו</w:t>
      </w:r>
      <w:r w:rsidRPr="0070361C">
        <w:rPr>
          <w:rFonts w:hint="cs"/>
          <w:b/>
          <w:bCs/>
          <w:sz w:val="18"/>
          <w:szCs w:val="18"/>
          <w:rtl/>
        </w:rPr>
        <w:t>בר</w:t>
      </w:r>
      <w:r>
        <w:rPr>
          <w:rFonts w:hint="cs"/>
          <w:sz w:val="18"/>
          <w:szCs w:val="18"/>
          <w:rtl/>
        </w:rPr>
        <w:t>, לעיל הערה 8.</w:t>
      </w:r>
    </w:p>
  </w:footnote>
  <w:footnote w:id="12">
    <w:p w:rsidR="00293CD3" w:rsidRDefault="00293CD3" w:rsidP="009430B1">
      <w:pPr>
        <w:pStyle w:val="FootnoteText"/>
        <w:spacing w:before="100" w:beforeAutospacing="1" w:line="240" w:lineRule="auto"/>
        <w:rPr>
          <w:rFonts w:hint="cs"/>
        </w:rPr>
      </w:pPr>
      <w:r w:rsidRPr="00563E13">
        <w:rPr>
          <w:rStyle w:val="FootnoteReference"/>
        </w:rPr>
        <w:footnoteRef/>
      </w:r>
      <w:r w:rsidRPr="00563E13">
        <w:rPr>
          <w:rtl/>
        </w:rPr>
        <w:t xml:space="preserve"> </w:t>
      </w:r>
      <w:r w:rsidRPr="00563E13">
        <w:rPr>
          <w:rFonts w:hint="cs"/>
          <w:rtl/>
        </w:rPr>
        <w:t>החברות המתמזגות שילמו לקופת המדינה 600,000 ₪ במסגרת צו מוסכם שאושר בבית הדין להגבלים עסקיים.</w:t>
      </w:r>
      <w:r>
        <w:rPr>
          <w:rFonts w:hint="cs"/>
          <w:rtl/>
        </w:rPr>
        <w:t xml:space="preserve"> </w:t>
      </w:r>
    </w:p>
  </w:footnote>
  <w:footnote w:id="13">
    <w:p w:rsidR="00293CD3" w:rsidRDefault="00293CD3" w:rsidP="009430B1">
      <w:pPr>
        <w:pStyle w:val="FootnoteText"/>
        <w:spacing w:before="100" w:beforeAutospacing="1" w:line="240" w:lineRule="auto"/>
        <w:rPr>
          <w:rFonts w:hint="cs"/>
          <w:rtl/>
        </w:rPr>
      </w:pPr>
      <w:r>
        <w:rPr>
          <w:rStyle w:val="FootnoteReference"/>
        </w:rPr>
        <w:footnoteRef/>
      </w:r>
      <w:r>
        <w:rPr>
          <w:rtl/>
        </w:rPr>
        <w:t xml:space="preserve"> </w:t>
      </w:r>
      <w:r>
        <w:rPr>
          <w:rFonts w:hint="cs"/>
          <w:rtl/>
        </w:rPr>
        <w:t xml:space="preserve">במצבים שבהם עיכוב בהזרמת הכספים מקים חשש מוצק וממשי לסיכול הליכי המכירה של החברה בפירוק, ניתן לבוא בדברים עם רשות ההגבלים העסקיים לשם מציאת פתרון משפטי מתאים לעניין.   </w:t>
      </w:r>
    </w:p>
  </w:footnote>
  <w:footnote w:id="14">
    <w:p w:rsidR="00293CD3" w:rsidRDefault="00293CD3" w:rsidP="009430B1">
      <w:pPr>
        <w:pStyle w:val="FootnoteText"/>
        <w:spacing w:before="100" w:beforeAutospacing="1" w:line="240" w:lineRule="auto"/>
        <w:rPr>
          <w:rFonts w:hint="cs"/>
          <w:rtl/>
        </w:rPr>
      </w:pPr>
      <w:r>
        <w:rPr>
          <w:rStyle w:val="FootnoteReference"/>
        </w:rPr>
        <w:footnoteRef/>
      </w:r>
      <w:r>
        <w:rPr>
          <w:rtl/>
        </w:rPr>
        <w:t xml:space="preserve"> </w:t>
      </w:r>
      <w:r>
        <w:rPr>
          <w:rFonts w:hint="cs"/>
          <w:rtl/>
        </w:rPr>
        <w:t xml:space="preserve">העברת מניות לנאמן עשויה להקים, בנסיבות מסוימות, מיזוג חברות בין הנאמן לבין החברה המוחזקת. להרחבה בעניין זה, ראה </w:t>
      </w:r>
      <w:r w:rsidRPr="0070361C">
        <w:rPr>
          <w:rFonts w:hint="cs"/>
          <w:b/>
          <w:bCs/>
          <w:rtl/>
        </w:rPr>
        <w:t>מיזוג בפועל גולקל צובר</w:t>
      </w:r>
      <w:r>
        <w:rPr>
          <w:rFonts w:hint="cs"/>
          <w:rtl/>
        </w:rPr>
        <w:t xml:space="preserve">, לעיל הערה 8. </w:t>
      </w:r>
    </w:p>
  </w:footnote>
  <w:footnote w:id="15">
    <w:p w:rsidR="00293CD3" w:rsidRDefault="00293CD3" w:rsidP="00BC7AE9">
      <w:pPr>
        <w:pStyle w:val="FootnoteText"/>
        <w:spacing w:before="100" w:beforeAutospacing="1" w:line="240" w:lineRule="auto"/>
        <w:rPr>
          <w:rFonts w:hint="cs"/>
          <w:rtl/>
        </w:rPr>
      </w:pPr>
      <w:r>
        <w:rPr>
          <w:rStyle w:val="FootnoteReference"/>
        </w:rPr>
        <w:footnoteRef/>
      </w:r>
      <w:r>
        <w:rPr>
          <w:rtl/>
        </w:rPr>
        <w:t xml:space="preserve"> </w:t>
      </w:r>
      <w:r>
        <w:rPr>
          <w:rFonts w:hint="cs"/>
          <w:rtl/>
        </w:rPr>
        <w:t xml:space="preserve">בנסיבות מסוימות תסכים הרשות לקבל הודעות מיזוג ולקיים בדיקה גם בהיעדר הסכם מיזוג. כך למשל, כאשר המיזוג נעשה על דרך הצעת רכש בבורסה. כמו כן, יש שהרשות תסכים להתחיל את בדיקת המיזוג על יסוד מזכר הבנות </w:t>
      </w:r>
      <w:r>
        <w:t>(Memorandum of Understanding)</w:t>
      </w:r>
      <w:r>
        <w:rPr>
          <w:rFonts w:hint="cs"/>
          <w:rtl/>
        </w:rPr>
        <w:t xml:space="preserve">, אם יביאו הצדדים לעסקה בפני הרשות טעם משכנע לעשות כן ובכפוף לכך שמזכר ההבנות מפורט ומסוים דיו וכולל מתווה עסקה ברור ומוגמר שניתן על יסודו להעריך אל נכון את השפעות המיזוג על התחרות. ויודגש, מניין הימים הקובע למתן החלטת הממונה במיזוג יתחיל בכל מקרה רק לכשיועבר הסכן המיזוג המלא על צרופותיו, כנדרש לפי הדין.   </w:t>
      </w:r>
    </w:p>
  </w:footnote>
  <w:footnote w:id="16">
    <w:p w:rsidR="00293CD3" w:rsidRDefault="00293CD3" w:rsidP="009430B1">
      <w:pPr>
        <w:pStyle w:val="FootnoteText"/>
        <w:spacing w:before="100" w:beforeAutospacing="1" w:line="240" w:lineRule="auto"/>
        <w:rPr>
          <w:rFonts w:hint="cs"/>
        </w:rPr>
      </w:pPr>
      <w:r>
        <w:rPr>
          <w:rStyle w:val="FootnoteReference"/>
        </w:rPr>
        <w:footnoteRef/>
      </w:r>
      <w:r>
        <w:rPr>
          <w:rtl/>
        </w:rPr>
        <w:t xml:space="preserve"> </w:t>
      </w:r>
      <w:r>
        <w:rPr>
          <w:rFonts w:hint="cs"/>
          <w:rtl/>
        </w:rPr>
        <w:t xml:space="preserve">המונח "אופציה", בשימוש כאן, מתייחס לסוגים שונים של הסדרים אשר מקנים לאדם אפשרות עתידית לחייב אדם אחר למכור או לרכוש, לפי העניין, זכויות בתאגיד. כך, תחת המונח "אופציות" יבואו גם אגרות חוב להמרה והסדרים דומים מסוג זה. </w:t>
      </w:r>
    </w:p>
  </w:footnote>
  <w:footnote w:id="17">
    <w:p w:rsidR="00293CD3" w:rsidRDefault="00293CD3" w:rsidP="00793BDE">
      <w:pPr>
        <w:pStyle w:val="FootnoteText"/>
        <w:spacing w:line="240" w:lineRule="auto"/>
        <w:rPr>
          <w:rFonts w:hint="cs"/>
        </w:rPr>
      </w:pPr>
      <w:r>
        <w:rPr>
          <w:rStyle w:val="FootnoteReference"/>
        </w:rPr>
        <w:footnoteRef/>
      </w:r>
      <w:r>
        <w:rPr>
          <w:rtl/>
        </w:rPr>
        <w:t xml:space="preserve"> </w:t>
      </w:r>
      <w:r>
        <w:rPr>
          <w:rFonts w:hint="cs"/>
          <w:rtl/>
        </w:rPr>
        <w:t xml:space="preserve">מובן, כי נקודת המוצא בדיון דלהלן היא כי במסגרת העסקה נרכשת מנת אופציות </w:t>
      </w:r>
      <w:r w:rsidRPr="009D18A9">
        <w:rPr>
          <w:rFonts w:hint="cs"/>
          <w:b/>
          <w:bCs/>
          <w:rtl/>
        </w:rPr>
        <w:t>בשיעור כזה המביא לחציית רף ההחזקה המקים מיזוג חברות</w:t>
      </w:r>
      <w:r w:rsidR="00A10BBA">
        <w:rPr>
          <w:rFonts w:hint="cs"/>
          <w:rtl/>
        </w:rPr>
        <w:t xml:space="preserve"> (וזאת במישרין, בשל שיעור הזכויות שמוקנות באופציות, או בשל הצטברות הזכויות שבא</w:t>
      </w:r>
      <w:r w:rsidR="007674DA">
        <w:rPr>
          <w:rFonts w:hint="cs"/>
          <w:rtl/>
        </w:rPr>
        <w:t>ופציות עם החזקות נוספות אצל הרוכש)</w:t>
      </w:r>
      <w:r>
        <w:rPr>
          <w:rFonts w:hint="cs"/>
          <w:rtl/>
        </w:rPr>
        <w:t xml:space="preserve">. הניתוח של עסקאות בהן נרכשות אופציות המקנות החזקה </w:t>
      </w:r>
      <w:r w:rsidRPr="009D18A9">
        <w:rPr>
          <w:rFonts w:hint="cs"/>
          <w:b/>
          <w:bCs/>
          <w:rtl/>
        </w:rPr>
        <w:t>שאינה מגיעה</w:t>
      </w:r>
      <w:r>
        <w:rPr>
          <w:rFonts w:hint="cs"/>
          <w:rtl/>
        </w:rPr>
        <w:t xml:space="preserve"> לרף המיזוג (למשל אופציה שמימושה מקנה 15% ממניות התאגיד) נושא דימיון לניתוח עסקאות בהן נרכשות מניות בשיעור </w:t>
      </w:r>
      <w:r w:rsidRPr="009D18A9">
        <w:rPr>
          <w:rFonts w:hint="cs"/>
          <w:b/>
          <w:bCs/>
          <w:rtl/>
        </w:rPr>
        <w:t>שאינו מגיע</w:t>
      </w:r>
      <w:r>
        <w:rPr>
          <w:rFonts w:hint="cs"/>
          <w:rtl/>
        </w:rPr>
        <w:t xml:space="preserve"> כדי הרף המקים מיזוג חברות. ניתוח זה חורג ממסגרת הדיון הנוכחי. </w:t>
      </w:r>
    </w:p>
  </w:footnote>
  <w:footnote w:id="18">
    <w:p w:rsidR="00293CD3" w:rsidRPr="00CC6504" w:rsidRDefault="00293CD3" w:rsidP="00793BDE">
      <w:pPr>
        <w:pStyle w:val="FootnoteText"/>
        <w:spacing w:before="100" w:beforeAutospacing="1" w:line="240" w:lineRule="auto"/>
        <w:rPr>
          <w:rFonts w:hint="cs"/>
        </w:rPr>
      </w:pPr>
      <w:r w:rsidRPr="00CC6504">
        <w:rPr>
          <w:rStyle w:val="FootnoteReference"/>
        </w:rPr>
        <w:footnoteRef/>
      </w:r>
      <w:r w:rsidRPr="00CC6504">
        <w:rPr>
          <w:rtl/>
        </w:rPr>
        <w:t xml:space="preserve"> </w:t>
      </w:r>
      <w:r w:rsidRPr="00CC6504">
        <w:rPr>
          <w:rFonts w:hint="cs"/>
          <w:rtl/>
        </w:rPr>
        <w:t xml:space="preserve">דוגמת זכויות וטו בעניינים אשר עשויים להשפיע על כושר התחרות של התאגיד, מעמד בדירקטוריון או השפעה על החלטות האסיפה הכללית. </w:t>
      </w:r>
      <w:r>
        <w:rPr>
          <w:rFonts w:hint="cs"/>
          <w:rtl/>
        </w:rPr>
        <w:t xml:space="preserve">למען הבהירות נציין, כי אין באמור לשלול מתן הגנות מקובלות לבעל האופציה שתכליתן למנוע ריקון של האופציות מערכן הכלכלי (דוגמת תניה האוסרת על חלוקת מניות הטבה ללא מתן מניות בשיעור מתאים גם לבעל האופציה). תניות אלה, </w:t>
      </w:r>
      <w:r w:rsidRPr="00512CBC">
        <w:rPr>
          <w:rFonts w:hint="cs"/>
          <w:rtl/>
        </w:rPr>
        <w:t>כשלעצמן</w:t>
      </w:r>
      <w:r>
        <w:rPr>
          <w:rFonts w:hint="cs"/>
          <w:rtl/>
        </w:rPr>
        <w:t xml:space="preserve">, לא יביאו להקדמת מועד חובת הדיווח, כל עוד לא מושגת מכוחן השפעה על התאגיד המוחזק ולא מוחלף מכוחן מידע רגיש שעלול להביא לפגיעה בתחרות. </w:t>
      </w:r>
    </w:p>
  </w:footnote>
  <w:footnote w:id="19">
    <w:p w:rsidR="00293CD3" w:rsidRDefault="00293CD3" w:rsidP="009430B1">
      <w:pPr>
        <w:pStyle w:val="FootnoteText"/>
        <w:spacing w:before="100" w:beforeAutospacing="1" w:line="240" w:lineRule="auto"/>
        <w:rPr>
          <w:rFonts w:hint="cs"/>
          <w:rtl/>
        </w:rPr>
      </w:pPr>
      <w:r>
        <w:rPr>
          <w:rStyle w:val="FootnoteReference"/>
        </w:rPr>
        <w:footnoteRef/>
      </w:r>
      <w:r>
        <w:rPr>
          <w:rtl/>
        </w:rPr>
        <w:t xml:space="preserve"> </w:t>
      </w:r>
      <w:r>
        <w:rPr>
          <w:rFonts w:hint="cs"/>
          <w:rtl/>
        </w:rPr>
        <w:t xml:space="preserve"> הנח למשל, כי חברה א' רוכשת 30% ממניות חברה ב' ומקבלת אופציות לרכישת 30% נוספים. ככלל, אישור המיזוג שיינתן לחברה א' מתייחס רק לרכישת 30% ממניות חברה ב'. לעת מימושן של האופציות יידרשו החברות להגיש הודעה נוספת, שכן המימוש יביא לחציית רף מחצית הזכויות בתאגיד ב'. במקרה כזה, החברות רשאיות לבקש שהאישור לרכישת 30% יכלול גם אישור למימוש האופציות. בדרך כלל תיענה הרשות לבקשה כזו, בכפוף לכך שהמיזוג יבוצע בתוך שנה ממועד האישור ושמימוש האופציות יתבצע לא יאוחר משלוש שנים ממועד האישור (בשווקים מסוימים תגביל הרשות את מועד מימוש האופציות לתקופה קצרה יותר). </w:t>
      </w:r>
    </w:p>
  </w:footnote>
  <w:footnote w:id="20">
    <w:p w:rsidR="00293CD3" w:rsidRDefault="00293CD3" w:rsidP="009430B1">
      <w:pPr>
        <w:pStyle w:val="FootnoteText"/>
        <w:spacing w:before="100" w:beforeAutospacing="1" w:line="240" w:lineRule="auto"/>
        <w:rPr>
          <w:rFonts w:hint="cs"/>
          <w:rtl/>
        </w:rPr>
      </w:pPr>
      <w:r>
        <w:rPr>
          <w:rStyle w:val="FootnoteReference"/>
        </w:rPr>
        <w:footnoteRef/>
      </w:r>
      <w:r>
        <w:rPr>
          <w:rtl/>
        </w:rPr>
        <w:t xml:space="preserve"> </w:t>
      </w:r>
      <w:r>
        <w:rPr>
          <w:rFonts w:hint="cs"/>
          <w:rtl/>
        </w:rPr>
        <w:t xml:space="preserve">לדוגמה הסכם שאינו כולל עסקה במניות או בנכסים, אלא רק מתן אופציה לרוכש לרכוש מחצית מהזכויות בתאגיד.  </w:t>
      </w:r>
    </w:p>
  </w:footnote>
  <w:footnote w:id="21">
    <w:p w:rsidR="00293CD3" w:rsidRDefault="00293CD3" w:rsidP="00C0167C">
      <w:pPr>
        <w:pStyle w:val="FootnoteText"/>
        <w:spacing w:line="240" w:lineRule="auto"/>
        <w:rPr>
          <w:rFonts w:hint="cs"/>
          <w:rtl/>
        </w:rPr>
      </w:pPr>
      <w:r>
        <w:rPr>
          <w:rStyle w:val="FootnoteReference"/>
        </w:rPr>
        <w:footnoteRef/>
      </w:r>
      <w:r>
        <w:rPr>
          <w:rtl/>
        </w:rPr>
        <w:t xml:space="preserve"> </w:t>
      </w:r>
      <w:r>
        <w:rPr>
          <w:rFonts w:hint="cs"/>
          <w:rtl/>
        </w:rPr>
        <w:t>בביטוי "</w:t>
      </w:r>
      <w:r w:rsidRPr="0091287F">
        <w:rPr>
          <w:rFonts w:hint="cs"/>
          <w:b/>
          <w:bCs/>
          <w:rtl/>
        </w:rPr>
        <w:t>זיקת השפעה ממשית</w:t>
      </w:r>
      <w:r>
        <w:rPr>
          <w:rFonts w:hint="cs"/>
          <w:rtl/>
        </w:rPr>
        <w:t xml:space="preserve">" מכוונים אנו להשפעה הנושאת משקל דומה לזה המתבטא בהחזקת למעלה מרבע באחד או יותר מסוגי הזכויות המנויים בהגדרת מיזוג חברות (הון מניות מוצא, זכות להשתתפות ברווחי התאגיד, כוח הצבעה והכוח למינוי דירקטורים). </w:t>
      </w:r>
    </w:p>
  </w:footnote>
  <w:footnote w:id="22">
    <w:p w:rsidR="00293CD3" w:rsidRDefault="00293CD3" w:rsidP="009430B1">
      <w:pPr>
        <w:pStyle w:val="FootnoteText"/>
        <w:spacing w:before="100" w:beforeAutospacing="1" w:line="240" w:lineRule="auto"/>
        <w:rPr>
          <w:rFonts w:hint="cs"/>
          <w:rtl/>
        </w:rPr>
      </w:pPr>
      <w:r>
        <w:rPr>
          <w:rStyle w:val="FootnoteReference"/>
        </w:rPr>
        <w:footnoteRef/>
      </w:r>
      <w:r>
        <w:t xml:space="preserve"> </w:t>
      </w:r>
      <w:r>
        <w:rPr>
          <w:rFonts w:hint="cs"/>
          <w:rtl/>
        </w:rPr>
        <w:t xml:space="preserve"> המונח "שליטה חלקית" אינו מוגדר בחקיקה. עניינו בקשת של מצבים בהם אין בידי מקבל הזכויות שליטה  מכרעת (מעל 50%), אך בכל זאת יש בידו דריסת רגל מהותית בהליכי קבלת ההחלטות בחברה (בהיותו מגדולי המחזיקים בזכויות בחברה, בהיותו בעל  זכויות וטו בקשר עם קבלת החלטות מסוימות וכיוצא באלה). </w:t>
      </w:r>
    </w:p>
  </w:footnote>
  <w:footnote w:id="23">
    <w:p w:rsidR="00293CD3" w:rsidRDefault="00293CD3" w:rsidP="00EF18A7">
      <w:pPr>
        <w:pStyle w:val="FootnoteText"/>
        <w:spacing w:before="100" w:beforeAutospacing="1" w:line="240" w:lineRule="auto"/>
        <w:rPr>
          <w:rFonts w:hint="cs"/>
          <w:rtl/>
        </w:rPr>
      </w:pPr>
      <w:r>
        <w:rPr>
          <w:rStyle w:val="FootnoteReference"/>
        </w:rPr>
        <w:footnoteRef/>
      </w:r>
      <w:r>
        <w:t xml:space="preserve"> </w:t>
      </w:r>
      <w:r>
        <w:rPr>
          <w:rFonts w:hint="cs"/>
          <w:rtl/>
        </w:rPr>
        <w:t xml:space="preserve"> יובהר עם זאת, כי </w:t>
      </w:r>
      <w:r>
        <w:rPr>
          <w:rtl/>
        </w:rPr>
        <w:t xml:space="preserve">האמור לעיל אינו שולל אותן תניות חוזיות בהסכם מיזוג, הקרויות </w:t>
      </w:r>
      <w:r>
        <w:t>negative covenants</w:t>
      </w:r>
      <w:r>
        <w:rPr>
          <w:rtl/>
        </w:rPr>
        <w:t>, היינו סעיפים בהם מתחייבת החברה הנרכשת, בפרק הזמן המקובל שבין החתימה על הסכם המיזוג לבין סגירת העסקה, להימנע מביצוע פעולות שונות שיש בהן כדי לשנות באופן משמעותי את מצבה העסקי של החברה הנרכשת באותה תקופה.  האמור לעיל גם אינו שולל הצבת מגבלות על הוצאת כספים בחברה הנרכשת, ככל שמגבלות אלה קבועות מראש ועולות בקנה אחד עם מהלך העסקים הרגיל של החברה הנרכשת בתקופה שקדמה למיזוג.  עם זאת, יש להקפיד על כך שאותן תניות חוזיות לא תעברנה בפועל את הכוח לכוון את פעילות החברה הנרכשת או לשלוט על ענייניה, לידי הרוכש המיועד, וכן שאותן תניות לא תאפשרנה לרוכש המיועד להכפיף את טובת החברה הנרכשת - ולו במידה חלקית - לטובת התאגיד הרוכש, או לטובת מי שהתאגיד הרוכש שולט בו, או לטובת מי שהתאגיד הרוכש נשלט על ידו, או לטובת תאגיד המצוי בשליטה של מי שהתאגיד הרוכש נשלט על ידו (</w:t>
      </w:r>
      <w:r>
        <w:t>controlling, controlled by or under common control with</w:t>
      </w:r>
      <w:r>
        <w:rPr>
          <w:rtl/>
        </w:rPr>
        <w:t>).</w:t>
      </w:r>
      <w:r>
        <w:rPr>
          <w:rFonts w:hint="cs"/>
          <w:rtl/>
        </w:rPr>
        <w:t xml:space="preserve">.        </w:t>
      </w:r>
    </w:p>
  </w:footnote>
  <w:footnote w:id="24">
    <w:p w:rsidR="00293CD3" w:rsidRDefault="00293CD3" w:rsidP="002121C7">
      <w:pPr>
        <w:pStyle w:val="FootnoteText"/>
        <w:spacing w:before="100" w:beforeAutospacing="1" w:line="240" w:lineRule="auto"/>
        <w:rPr>
          <w:rFonts w:hint="cs"/>
          <w:rtl/>
        </w:rPr>
      </w:pPr>
      <w:r>
        <w:rPr>
          <w:rStyle w:val="FootnoteReference"/>
        </w:rPr>
        <w:footnoteRef/>
      </w:r>
      <w:r>
        <w:t xml:space="preserve"> </w:t>
      </w:r>
      <w:r>
        <w:rPr>
          <w:rFonts w:hint="cs"/>
          <w:rtl/>
        </w:rPr>
        <w:t xml:space="preserve"> הכוונה היא לדריסת רגל הנושאת משקל דומה לזה המתבטא ברובד החזקות החלוטות ובמקרים רבים מדובר על מצבים המקימים מיזוג גם מכוחן של החלופות הפרטניות. כך למשל, בעל מניות המחזיק 20% מכוח ההצבעה בחברה ציבורית שההחזקה במניותיה מבוזרת, יוכל לעיתים למנות למעלה מרבע מהדירקטורים בחברה. </w:t>
      </w:r>
    </w:p>
  </w:footnote>
  <w:footnote w:id="25">
    <w:p w:rsidR="00293CD3" w:rsidRDefault="00293CD3" w:rsidP="009430B1">
      <w:pPr>
        <w:pStyle w:val="FootnoteText"/>
        <w:spacing w:before="100" w:beforeAutospacing="1" w:line="240" w:lineRule="auto"/>
        <w:rPr>
          <w:rFonts w:hint="cs"/>
          <w:rtl/>
        </w:rPr>
      </w:pPr>
      <w:r>
        <w:rPr>
          <w:rStyle w:val="FootnoteReference"/>
        </w:rPr>
        <w:footnoteRef/>
      </w:r>
      <w:r>
        <w:t xml:space="preserve"> </w:t>
      </w:r>
      <w:r>
        <w:rPr>
          <w:rFonts w:hint="cs"/>
          <w:rtl/>
        </w:rPr>
        <w:t xml:space="preserve"> כאשר קיים </w:t>
      </w:r>
      <w:r w:rsidRPr="00E957B9">
        <w:rPr>
          <w:rFonts w:hint="cs"/>
          <w:b/>
          <w:bCs/>
          <w:rtl/>
        </w:rPr>
        <w:t>קשר קנייני</w:t>
      </w:r>
      <w:r>
        <w:rPr>
          <w:rFonts w:hint="cs"/>
          <w:rtl/>
        </w:rPr>
        <w:t xml:space="preserve"> בין הרוכשים, כבמצב שבו רוכשות חברה אם וחברה בת ביחד מניות בחברה תאוחד ממילא רכישתן שהרי חוק ההגבלים העסקיים רואה בהן "יישות מהותית אחת". כוונת הדברים היא אפוא למקרים בהם הקשר אינו עולה כדי יחסי חברה אם וחברה בת ובעיקר הכוונה היא לקשר הסכמי בין הרוכשים. במונח "קשר הסכמי" כוונתנו לקשת רחבה של הסדרים והסכמים במסגרתם נדברים הרוכשים לגבי אופן הצבעתם או דרכי פעולתם במוסדות שונים של החברה. לסוגיה של רכישה במשותף ראה פרק ג.1.3 בהמשך.  </w:t>
      </w:r>
    </w:p>
  </w:footnote>
  <w:footnote w:id="26">
    <w:p w:rsidR="00293CD3" w:rsidRPr="006D3D7E" w:rsidRDefault="00293CD3" w:rsidP="009430B1">
      <w:pPr>
        <w:pStyle w:val="FootnoteText"/>
        <w:spacing w:before="100" w:beforeAutospacing="1" w:line="240" w:lineRule="auto"/>
        <w:rPr>
          <w:rFonts w:hint="cs"/>
          <w:rtl/>
        </w:rPr>
      </w:pPr>
      <w:r>
        <w:rPr>
          <w:rStyle w:val="FootnoteReference"/>
        </w:rPr>
        <w:footnoteRef/>
      </w:r>
      <w:r>
        <w:t xml:space="preserve"> </w:t>
      </w:r>
      <w:r>
        <w:rPr>
          <w:rFonts w:hint="cs"/>
          <w:rtl/>
        </w:rPr>
        <w:t xml:space="preserve"> מקרה כזה אף עולה כדי מיזוג חברות לפי הרובד הפרטני, החל על רכישת זכויות ונכסים בין שהיא נעשית במישרין ובין שהיא נעשית בעקיפין. ראה גם </w:t>
      </w:r>
      <w:r>
        <w:rPr>
          <w:rFonts w:hint="cs"/>
          <w:b/>
          <w:bCs/>
          <w:rtl/>
        </w:rPr>
        <w:t>פרשת זלקינד</w:t>
      </w:r>
      <w:r w:rsidRPr="006D3D7E">
        <w:rPr>
          <w:rFonts w:hint="cs"/>
          <w:rtl/>
        </w:rPr>
        <w:t>, לעיל הערה 1.</w:t>
      </w:r>
    </w:p>
  </w:footnote>
  <w:footnote w:id="27">
    <w:p w:rsidR="00293CD3" w:rsidRDefault="00293CD3" w:rsidP="009430B1">
      <w:pPr>
        <w:pStyle w:val="FootnoteText"/>
        <w:spacing w:before="100" w:beforeAutospacing="1" w:line="240" w:lineRule="auto"/>
        <w:rPr>
          <w:rtl/>
        </w:rPr>
      </w:pPr>
      <w:r>
        <w:rPr>
          <w:rStyle w:val="FootnoteReference"/>
        </w:rPr>
        <w:footnoteRef/>
      </w:r>
      <w:r>
        <w:t xml:space="preserve"> </w:t>
      </w:r>
      <w:r>
        <w:rPr>
          <w:rFonts w:hint="cs"/>
          <w:rtl/>
        </w:rPr>
        <w:t xml:space="preserve"> מקרים אלה עשויים לקיים גם את הרובד הפרטני, החל במפורש על רכישת זכויות או נכסים "באמצעות זכויות המוקנות בחוזה". </w:t>
      </w:r>
    </w:p>
  </w:footnote>
  <w:footnote w:id="28">
    <w:p w:rsidR="00293CD3" w:rsidRDefault="00293CD3" w:rsidP="00693D82">
      <w:pPr>
        <w:pStyle w:val="BodyText"/>
        <w:spacing w:line="240" w:lineRule="auto"/>
        <w:rPr>
          <w:rFonts w:hint="cs"/>
          <w:rtl/>
        </w:rPr>
      </w:pPr>
      <w:r w:rsidRPr="006D3D7E">
        <w:rPr>
          <w:rStyle w:val="FootnoteReference"/>
          <w:sz w:val="20"/>
          <w:szCs w:val="20"/>
        </w:rPr>
        <w:footnoteRef/>
      </w:r>
      <w:r w:rsidRPr="006D3D7E">
        <w:rPr>
          <w:sz w:val="20"/>
          <w:szCs w:val="20"/>
        </w:rPr>
        <w:t xml:space="preserve"> </w:t>
      </w:r>
      <w:r w:rsidRPr="006D3D7E">
        <w:rPr>
          <w:rFonts w:hint="cs"/>
          <w:sz w:val="20"/>
          <w:szCs w:val="20"/>
          <w:rtl/>
        </w:rPr>
        <w:t xml:space="preserve"> יש ורכישת זכויות שימוש בנכס או השכרתו יסווגו כהסדר כובל. ההבחנה לעניין זה בין מיזוג חברות והסדר כובל נעשית על יסוד כלל נסיבות העניין ובכלל זה טיבו של הנכס ואופייה של הזכות המוענקת. מובן כי ככל שמשך התקופה אליה מתייחסת זכות השימוש ארוך יותר, כך גובר הסיכוי כי ההסכם יסווג כמיזוג חברות.</w:t>
      </w:r>
      <w:r>
        <w:rPr>
          <w:rFonts w:hint="cs"/>
          <w:sz w:val="20"/>
          <w:szCs w:val="20"/>
          <w:rtl/>
        </w:rPr>
        <w:t xml:space="preserve"> </w:t>
      </w:r>
      <w:r w:rsidRPr="006D3D7E">
        <w:rPr>
          <w:rFonts w:hint="cs"/>
          <w:sz w:val="20"/>
          <w:szCs w:val="20"/>
          <w:rtl/>
        </w:rPr>
        <w:t xml:space="preserve">התייחסות נרחבת לפרשנות הגדרת מיזוג חברות ניתן למצוא בקביעה </w:t>
      </w:r>
      <w:r w:rsidRPr="006D3D7E">
        <w:rPr>
          <w:sz w:val="20"/>
          <w:szCs w:val="20"/>
          <w:rtl/>
        </w:rPr>
        <w:t>ב</w:t>
      </w:r>
      <w:r w:rsidRPr="007847D8">
        <w:rPr>
          <w:rFonts w:hint="cs"/>
          <w:b/>
          <w:bCs/>
          <w:sz w:val="20"/>
          <w:szCs w:val="20"/>
          <w:rtl/>
        </w:rPr>
        <w:t>עניין</w:t>
      </w:r>
      <w:r w:rsidRPr="006D3D7E">
        <w:rPr>
          <w:rFonts w:hint="cs"/>
          <w:sz w:val="20"/>
          <w:szCs w:val="20"/>
          <w:rtl/>
        </w:rPr>
        <w:t xml:space="preserve"> </w:t>
      </w:r>
      <w:r>
        <w:rPr>
          <w:rFonts w:hint="cs"/>
          <w:b/>
          <w:bCs/>
          <w:sz w:val="20"/>
          <w:szCs w:val="20"/>
          <w:rtl/>
        </w:rPr>
        <w:t>צובר גולקל</w:t>
      </w:r>
      <w:r w:rsidRPr="006D3D7E">
        <w:rPr>
          <w:rFonts w:hint="cs"/>
          <w:sz w:val="20"/>
          <w:szCs w:val="20"/>
          <w:rtl/>
        </w:rPr>
        <w:t xml:space="preserve">, לעיל הערה </w:t>
      </w:r>
      <w:r>
        <w:rPr>
          <w:rFonts w:hint="cs"/>
          <w:sz w:val="20"/>
          <w:szCs w:val="20"/>
          <w:rtl/>
        </w:rPr>
        <w:t>8</w:t>
      </w:r>
      <w:r w:rsidRPr="006D3D7E">
        <w:rPr>
          <w:rFonts w:hint="cs"/>
          <w:sz w:val="20"/>
          <w:szCs w:val="20"/>
          <w:rtl/>
        </w:rPr>
        <w:t>.</w:t>
      </w:r>
    </w:p>
  </w:footnote>
  <w:footnote w:id="29">
    <w:p w:rsidR="00293CD3" w:rsidRDefault="00293CD3" w:rsidP="009430B1">
      <w:pPr>
        <w:pStyle w:val="FootnoteText"/>
        <w:spacing w:before="100" w:beforeAutospacing="1" w:line="240" w:lineRule="auto"/>
        <w:rPr>
          <w:rFonts w:hint="cs"/>
          <w:rtl/>
        </w:rPr>
      </w:pPr>
      <w:r>
        <w:rPr>
          <w:rStyle w:val="FootnoteReference"/>
        </w:rPr>
        <w:footnoteRef/>
      </w:r>
      <w:r>
        <w:t xml:space="preserve"> </w:t>
      </w:r>
      <w:r>
        <w:rPr>
          <w:rFonts w:hint="cs"/>
          <w:rtl/>
        </w:rPr>
        <w:t xml:space="preserve"> כך יהיה למשל במצב בו ביצע אדם רכישה המקנה לו 20% מהון המניות המוצא ומהזכות למינוי דירקטורים, אך בכל הקשור לקבלת החלטות בתחום מחירי מוצרי החברה ניתנה בידו זכות "וטו", או שהוקצתה לו "מנית זהב" המקנה זכויות מיוחדות, ככלל או בנושאים מסוימים, המהווה שליטה בפועל.  </w:t>
      </w:r>
    </w:p>
  </w:footnote>
  <w:footnote w:id="30">
    <w:p w:rsidR="00293CD3" w:rsidRDefault="00293CD3" w:rsidP="00A134BF">
      <w:pPr>
        <w:pStyle w:val="FootnoteText"/>
        <w:spacing w:before="100" w:beforeAutospacing="1" w:line="240" w:lineRule="auto"/>
        <w:rPr>
          <w:rFonts w:hint="cs"/>
          <w:rtl/>
        </w:rPr>
      </w:pPr>
      <w:r>
        <w:rPr>
          <w:rStyle w:val="FootnoteReference"/>
        </w:rPr>
        <w:footnoteRef/>
      </w:r>
      <w:r>
        <w:rPr>
          <w:rtl/>
        </w:rPr>
        <w:t xml:space="preserve"> </w:t>
      </w:r>
      <w:r>
        <w:rPr>
          <w:rFonts w:hint="cs"/>
          <w:rtl/>
        </w:rPr>
        <w:t xml:space="preserve">זאת מבלי להידרש </w:t>
      </w:r>
      <w:r w:rsidR="00A134BF">
        <w:rPr>
          <w:rFonts w:hint="cs"/>
          <w:rtl/>
        </w:rPr>
        <w:t xml:space="preserve">לכך </w:t>
      </w:r>
      <w:r>
        <w:rPr>
          <w:rFonts w:hint="cs"/>
          <w:rtl/>
        </w:rPr>
        <w:t xml:space="preserve">שעסקה בה מקנה הרכישה 25% מהזכויות (או שיעור נמוך מכך) </w:t>
      </w:r>
      <w:r w:rsidR="00A134BF">
        <w:rPr>
          <w:rFonts w:hint="cs"/>
          <w:rtl/>
        </w:rPr>
        <w:t xml:space="preserve">עשויה להיות מסווגת </w:t>
      </w:r>
      <w:r>
        <w:rPr>
          <w:rFonts w:hint="cs"/>
          <w:rtl/>
        </w:rPr>
        <w:t>כהסדר כובל</w:t>
      </w:r>
      <w:r w:rsidR="00A134BF">
        <w:rPr>
          <w:rFonts w:hint="cs"/>
          <w:rtl/>
        </w:rPr>
        <w:t>, לפי נסיבות המקרה</w:t>
      </w:r>
      <w:r>
        <w:rPr>
          <w:rFonts w:hint="cs"/>
          <w:rtl/>
        </w:rPr>
        <w:t xml:space="preserve">.  </w:t>
      </w:r>
    </w:p>
  </w:footnote>
  <w:footnote w:id="31">
    <w:p w:rsidR="00293CD3" w:rsidRDefault="00293CD3" w:rsidP="00C0167C">
      <w:pPr>
        <w:pStyle w:val="FootnoteText"/>
        <w:spacing w:before="100" w:beforeAutospacing="1" w:line="240" w:lineRule="auto"/>
        <w:rPr>
          <w:rFonts w:hint="cs"/>
          <w:rtl/>
        </w:rPr>
      </w:pPr>
      <w:r>
        <w:rPr>
          <w:rStyle w:val="FootnoteReference"/>
        </w:rPr>
        <w:footnoteRef/>
      </w:r>
      <w:r>
        <w:t xml:space="preserve"> </w:t>
      </w:r>
      <w:r>
        <w:rPr>
          <w:rFonts w:hint="cs"/>
          <w:rtl/>
        </w:rPr>
        <w:t xml:space="preserve"> לעניין זה, "</w:t>
      </w:r>
      <w:r>
        <w:rPr>
          <w:rFonts w:hint="cs"/>
          <w:b/>
          <w:bCs/>
          <w:rtl/>
        </w:rPr>
        <w:t>הסדר הצבעה</w:t>
      </w:r>
      <w:r>
        <w:rPr>
          <w:rFonts w:hint="cs"/>
          <w:rtl/>
        </w:rPr>
        <w:t xml:space="preserve">"  - הסכם, הבנה או הסדר אחר בין בעלי מניות, הנוגע להפעלת זכות מזכויותיהם באופן מתואם, לרבות כל אחד מאלה: הסדר בדבר הצבעה באסיפה הכללית (או מוסד מקביל) בהחלטות מסוימות או ככלל; הסדר למינוי דירקטורים או נושאי משרה בחברה; הסדר בדבר כינוס ישיבות מקדימות משותפות קודם לקיום אסיפה כללית או ישיבות מועצת מנהלים; נוהגי הצבעה משותפת במוסדות החברה או בתאגידים אחרים. הגיון הדברים הוא, כי במצבים אלה היקף ההחזקה הישירה במניות התאגיד אינו משקף את מעמדו האמיתי של בעל המניות בתאגיד ולמעשה נתונה לו, מכוח הסדר ההצבעה, השפעה שהיא שוות ערך להשפעה המקימה מיזוג חברות (או אף גדולה ממנה). דוגמה מובהקת (ובלתי ממצה) לדברים תימצא במצב שבו שני בעלי מניות, המחזיקים כל אחד ב- 20% ממניות התאגיד, מסכימים ביניהם להצביע בצוותא חדא בעניינים המועלים באסיפה הכללית. במקרה כזה ברור, כי מכוח ההסכם נתון לבעלי המניות כוח הצבעה אפקטיבי של 40% באסיפה הכללית והדין מחייב ליתן לעובדה זו ביטוי משפטי הולם. </w:t>
      </w:r>
    </w:p>
  </w:footnote>
  <w:footnote w:id="32">
    <w:p w:rsidR="00293CD3" w:rsidRDefault="00293CD3" w:rsidP="009430B1">
      <w:pPr>
        <w:pStyle w:val="FootnoteText"/>
        <w:spacing w:before="100" w:beforeAutospacing="1" w:line="240" w:lineRule="auto"/>
        <w:rPr>
          <w:rFonts w:hint="cs"/>
          <w:rtl/>
        </w:rPr>
      </w:pPr>
      <w:r>
        <w:rPr>
          <w:rStyle w:val="FootnoteReference"/>
        </w:rPr>
        <w:footnoteRef/>
      </w:r>
      <w:r>
        <w:rPr>
          <w:rtl/>
        </w:rPr>
        <w:t xml:space="preserve"> </w:t>
      </w:r>
      <w:r w:rsidRPr="00003C74">
        <w:rPr>
          <w:rFonts w:hint="cs"/>
          <w:sz w:val="18"/>
          <w:szCs w:val="18"/>
          <w:rtl/>
        </w:rPr>
        <w:t xml:space="preserve">ראה גם פרק 4.5 לקביעה </w:t>
      </w:r>
      <w:r>
        <w:rPr>
          <w:sz w:val="18"/>
          <w:szCs w:val="18"/>
          <w:rtl/>
        </w:rPr>
        <w:t>ב</w:t>
      </w:r>
      <w:r w:rsidRPr="00065179">
        <w:rPr>
          <w:rFonts w:hint="cs"/>
          <w:b/>
          <w:bCs/>
          <w:sz w:val="18"/>
          <w:szCs w:val="18"/>
          <w:rtl/>
        </w:rPr>
        <w:t>עניין</w:t>
      </w:r>
      <w:r>
        <w:rPr>
          <w:rFonts w:hint="cs"/>
          <w:sz w:val="18"/>
          <w:szCs w:val="18"/>
          <w:rtl/>
        </w:rPr>
        <w:t xml:space="preserve"> </w:t>
      </w:r>
      <w:r>
        <w:rPr>
          <w:rFonts w:hint="cs"/>
          <w:b/>
          <w:bCs/>
          <w:sz w:val="18"/>
          <w:szCs w:val="18"/>
          <w:rtl/>
        </w:rPr>
        <w:t>צובר גולקל</w:t>
      </w:r>
      <w:r>
        <w:rPr>
          <w:rFonts w:hint="cs"/>
          <w:sz w:val="18"/>
          <w:szCs w:val="18"/>
          <w:rtl/>
        </w:rPr>
        <w:t>, לעיל הערה 8.</w:t>
      </w:r>
    </w:p>
  </w:footnote>
  <w:footnote w:id="33">
    <w:p w:rsidR="00293CD3" w:rsidRDefault="00293CD3" w:rsidP="009430B1">
      <w:pPr>
        <w:pStyle w:val="FootnoteText"/>
        <w:spacing w:before="100" w:beforeAutospacing="1" w:line="240" w:lineRule="auto"/>
        <w:rPr>
          <w:rFonts w:hint="cs"/>
          <w:rtl/>
        </w:rPr>
      </w:pPr>
      <w:r>
        <w:rPr>
          <w:rStyle w:val="FootnoteReference"/>
        </w:rPr>
        <w:footnoteRef/>
      </w:r>
      <w:r>
        <w:t xml:space="preserve"> </w:t>
      </w:r>
      <w:r>
        <w:rPr>
          <w:rFonts w:hint="cs"/>
          <w:rtl/>
        </w:rPr>
        <w:t xml:space="preserve"> כך למשל, אם חברה א' מחזיקה ב- 20% מהונה המוצא של חברה ב' והיא מגדילה את החזקתה בהונה המוצא של ב' ל- 40%, היא מבצעת מיזוג חברות (שכן היא חוצה את רף 25%). כעת, אם לאחר זמן מה א' מגדילה שוב את החזקתה בהונה המוצא של חברה ב' ל- 60%, אזי שוב מדובר בעסקת מיזוג (כעת א' חוצה את רף ה- 50%).</w:t>
      </w:r>
    </w:p>
  </w:footnote>
  <w:footnote w:id="34">
    <w:p w:rsidR="002A3B06" w:rsidRDefault="002A3B06" w:rsidP="00266E79">
      <w:pPr>
        <w:pStyle w:val="FootnoteText"/>
        <w:rPr>
          <w:rFonts w:hint="cs"/>
          <w:rtl/>
        </w:rPr>
      </w:pPr>
      <w:r>
        <w:rPr>
          <w:rStyle w:val="FootnoteReference"/>
        </w:rPr>
        <w:footnoteRef/>
      </w:r>
      <w:r>
        <w:rPr>
          <w:rtl/>
        </w:rPr>
        <w:t xml:space="preserve"> </w:t>
      </w:r>
      <w:r>
        <w:rPr>
          <w:rFonts w:hint="cs"/>
          <w:rtl/>
        </w:rPr>
        <w:t xml:space="preserve">כך </w:t>
      </w:r>
      <w:r w:rsidR="00266E79">
        <w:rPr>
          <w:rFonts w:hint="cs"/>
          <w:rtl/>
        </w:rPr>
        <w:t>להמחשה</w:t>
      </w:r>
      <w:r>
        <w:rPr>
          <w:rFonts w:hint="cs"/>
          <w:rtl/>
        </w:rPr>
        <w:t xml:space="preserve">, אם חברה א' מחזיקה בחברה ב' למעלה ממחצית הן מכוח ההצבעה, הן מהזכות למנות דירקטורים, הן מהזכות לרווחים והן מהון המניות המוצע  </w:t>
      </w:r>
      <w:r>
        <w:rPr>
          <w:rtl/>
        </w:rPr>
        <w:t>–</w:t>
      </w:r>
      <w:r>
        <w:rPr>
          <w:rFonts w:hint="cs"/>
          <w:rtl/>
        </w:rPr>
        <w:t xml:space="preserve"> והחזקות קודמות אלה נעשו כדין </w:t>
      </w:r>
      <w:r>
        <w:rPr>
          <w:rtl/>
        </w:rPr>
        <w:t>–</w:t>
      </w:r>
      <w:r>
        <w:rPr>
          <w:rFonts w:hint="cs"/>
          <w:rtl/>
        </w:rPr>
        <w:t xml:space="preserve"> הרי שרשות ההגבלים לא תעמוד על קבלת אישור מיזוג לעסקה במסגרתה חברה א' מגדילה את שיעור החזקותיה הקיימות ממילא בחברה ב'. מנגד, במקרה בו חברה ג' מחזיקה בחברה ד' למעלה ממחצית מכוח ההצבעה ומהון המניות המוצע, אך רק 40% מהזכות לרווחים ומהזכות למנות מנהלים, הרי </w:t>
      </w:r>
      <w:r w:rsidR="00266E79">
        <w:rPr>
          <w:rFonts w:hint="cs"/>
          <w:rtl/>
        </w:rPr>
        <w:t>ש</w:t>
      </w:r>
      <w:r>
        <w:rPr>
          <w:rFonts w:hint="cs"/>
          <w:rtl/>
        </w:rPr>
        <w:t xml:space="preserve">עסקה במסגרתה חברה ג' חוצה את רף ההחזקה של למעלה ממחצית מהזכות לרווחים </w:t>
      </w:r>
      <w:r w:rsidR="00266E79">
        <w:rPr>
          <w:rFonts w:hint="cs"/>
          <w:rtl/>
        </w:rPr>
        <w:t xml:space="preserve">בחברה ד', מהווה מיזוג חברות אשר טעון אישור של הממונה. </w:t>
      </w:r>
    </w:p>
  </w:footnote>
  <w:footnote w:id="35">
    <w:p w:rsidR="00293CD3" w:rsidRDefault="00293CD3" w:rsidP="00CB5B03">
      <w:pPr>
        <w:pStyle w:val="FootnoteText"/>
        <w:spacing w:before="100" w:beforeAutospacing="1" w:line="240" w:lineRule="auto"/>
        <w:rPr>
          <w:rFonts w:hint="cs"/>
          <w:rtl/>
        </w:rPr>
      </w:pPr>
      <w:r>
        <w:rPr>
          <w:rStyle w:val="FootnoteReference"/>
        </w:rPr>
        <w:footnoteRef/>
      </w:r>
      <w:r>
        <w:t xml:space="preserve"> </w:t>
      </w:r>
      <w:r>
        <w:rPr>
          <w:rFonts w:hint="cs"/>
          <w:rtl/>
        </w:rPr>
        <w:t xml:space="preserve"> ראה למשל סעיף 3(5) לחוק.    </w:t>
      </w:r>
    </w:p>
  </w:footnote>
  <w:footnote w:id="36">
    <w:p w:rsidR="00293CD3" w:rsidRDefault="00293CD3" w:rsidP="009430B1">
      <w:pPr>
        <w:pStyle w:val="BodyTextIndent"/>
        <w:spacing w:before="100" w:beforeAutospacing="1" w:line="240" w:lineRule="auto"/>
        <w:ind w:left="26" w:firstLine="0"/>
        <w:rPr>
          <w:rFonts w:hint="cs"/>
          <w:sz w:val="20"/>
          <w:szCs w:val="20"/>
          <w:rtl/>
        </w:rPr>
      </w:pPr>
      <w:r>
        <w:rPr>
          <w:rStyle w:val="FootnoteReference"/>
          <w:sz w:val="20"/>
          <w:szCs w:val="20"/>
        </w:rPr>
        <w:footnoteRef/>
      </w:r>
      <w:r>
        <w:rPr>
          <w:sz w:val="20"/>
          <w:szCs w:val="20"/>
        </w:rPr>
        <w:t xml:space="preserve"> </w:t>
      </w:r>
      <w:r>
        <w:rPr>
          <w:rFonts w:hint="cs"/>
          <w:sz w:val="20"/>
          <w:szCs w:val="20"/>
          <w:rtl/>
        </w:rPr>
        <w:t xml:space="preserve"> לדוגמה: חברה א' מחזיקה </w:t>
      </w:r>
      <w:r>
        <w:rPr>
          <w:rFonts w:hint="cs"/>
          <w:b/>
          <w:bCs/>
          <w:sz w:val="20"/>
          <w:szCs w:val="20"/>
          <w:rtl/>
        </w:rPr>
        <w:t>במלוא הזכויות</w:t>
      </w:r>
      <w:r>
        <w:rPr>
          <w:rFonts w:hint="cs"/>
          <w:sz w:val="20"/>
          <w:szCs w:val="20"/>
          <w:rtl/>
        </w:rPr>
        <w:t xml:space="preserve"> בחברות ב' ו- ג'. א' מעוניינ</w:t>
      </w:r>
      <w:r>
        <w:rPr>
          <w:rFonts w:hint="eastAsia"/>
          <w:sz w:val="20"/>
          <w:szCs w:val="20"/>
          <w:rtl/>
        </w:rPr>
        <w:t>ת</w:t>
      </w:r>
      <w:r>
        <w:rPr>
          <w:rFonts w:hint="cs"/>
          <w:sz w:val="20"/>
          <w:szCs w:val="20"/>
          <w:rtl/>
        </w:rPr>
        <w:t xml:space="preserve"> להעביר את פעילותה של חברה ב' לחברה ג' ולהביא לחיסולה המלא והסופי של חברה ב'. עסקה זו מקימה לכאורה מיזוג חברות, אך אין היא משנה כלל את הזיקה בין מנגנוני קבלת ההחלטות של החברות המתמזגות ולכן הרשות לא תדרוש מתן הודעת מיזוג בגינה.</w:t>
      </w:r>
    </w:p>
  </w:footnote>
  <w:footnote w:id="37">
    <w:p w:rsidR="00293CD3" w:rsidRDefault="00293CD3" w:rsidP="009430B1">
      <w:pPr>
        <w:pStyle w:val="FootnoteText"/>
        <w:spacing w:before="100" w:beforeAutospacing="1" w:line="240" w:lineRule="auto"/>
        <w:rPr>
          <w:rFonts w:hint="cs"/>
          <w:rtl/>
        </w:rPr>
      </w:pPr>
      <w:r>
        <w:rPr>
          <w:rStyle w:val="FootnoteReference"/>
        </w:rPr>
        <w:footnoteRef/>
      </w:r>
      <w:r>
        <w:rPr>
          <w:rtl/>
        </w:rPr>
        <w:t xml:space="preserve"> </w:t>
      </w:r>
      <w:r>
        <w:rPr>
          <w:rFonts w:hint="cs"/>
          <w:rtl/>
        </w:rPr>
        <w:t xml:space="preserve"> לחישוב החזקות בשיטת המכפלות ובשיטת איתור בעל השליטה בהקשרים נוספים, ראה גם עע"ם 6352/01 </w:t>
      </w:r>
      <w:r w:rsidRPr="00E90AF2">
        <w:rPr>
          <w:rFonts w:hint="cs"/>
          <w:b/>
          <w:bCs/>
          <w:rtl/>
        </w:rPr>
        <w:t xml:space="preserve">חדשות ישראל </w:t>
      </w:r>
      <w:r w:rsidR="0080253F">
        <w:rPr>
          <w:rFonts w:hint="cs"/>
          <w:b/>
          <w:bCs/>
          <w:rtl/>
        </w:rPr>
        <w:t>(</w:t>
      </w:r>
      <w:r w:rsidRPr="00E90AF2">
        <w:rPr>
          <w:rFonts w:hint="cs"/>
          <w:b/>
          <w:bCs/>
          <w:rtl/>
        </w:rPr>
        <w:t>טי.אי.אן.סי) נ' שר התקשורת</w:t>
      </w:r>
      <w:r>
        <w:rPr>
          <w:rFonts w:hint="cs"/>
          <w:rtl/>
        </w:rPr>
        <w:t xml:space="preserve">, תק </w:t>
      </w:r>
      <w:r>
        <w:rPr>
          <w:rtl/>
        </w:rPr>
        <w:t>–</w:t>
      </w:r>
      <w:r>
        <w:rPr>
          <w:rFonts w:hint="cs"/>
          <w:rtl/>
        </w:rPr>
        <w:t xml:space="preserve"> על 2001 (4) 562. </w:t>
      </w:r>
    </w:p>
  </w:footnote>
  <w:footnote w:id="38">
    <w:p w:rsidR="00293CD3" w:rsidRDefault="00293CD3" w:rsidP="009430B1">
      <w:pPr>
        <w:pStyle w:val="BodyTextIndent"/>
        <w:spacing w:before="100" w:beforeAutospacing="1" w:line="240" w:lineRule="auto"/>
        <w:ind w:left="28" w:firstLine="0"/>
        <w:rPr>
          <w:rFonts w:hint="cs"/>
          <w:sz w:val="20"/>
          <w:szCs w:val="20"/>
          <w:rtl/>
        </w:rPr>
      </w:pPr>
      <w:r>
        <w:rPr>
          <w:rStyle w:val="FootnoteReference"/>
          <w:sz w:val="20"/>
          <w:szCs w:val="20"/>
        </w:rPr>
        <w:footnoteRef/>
      </w:r>
      <w:r>
        <w:rPr>
          <w:sz w:val="20"/>
          <w:szCs w:val="20"/>
        </w:rPr>
        <w:t xml:space="preserve"> </w:t>
      </w:r>
      <w:r>
        <w:rPr>
          <w:rFonts w:hint="cs"/>
          <w:sz w:val="20"/>
          <w:szCs w:val="20"/>
          <w:rtl/>
        </w:rPr>
        <w:t xml:space="preserve"> דוגמה: א' מחזיק 30% מכוח ההצבעה בתאגיד ב'. בעל השליטה בתאגיד ב' הוא ג'. תאגיד ב' מחזיק ב- 60% מכוח ההצבעה בתאגיד ד'. שיעור ההחזקה של א' בזכויות ההצבעה בתאגיד ד' הוא 0%, הואיל וכלל ההחזקה של תאגיד ב' בתאגיד ד' מיוחסת לבעל השליטה בתאגיד ב'.  בדומה, שיעור ההחזקה של ג' בזכויות ההצבעה בתאגיד ד' הוא 60%.  </w:t>
      </w:r>
    </w:p>
  </w:footnote>
  <w:footnote w:id="39">
    <w:p w:rsidR="00293CD3" w:rsidRDefault="00293CD3" w:rsidP="009430B1">
      <w:pPr>
        <w:pStyle w:val="BodyTextIndent"/>
        <w:spacing w:before="100" w:beforeAutospacing="1" w:line="240" w:lineRule="auto"/>
        <w:ind w:left="28" w:firstLine="0"/>
        <w:rPr>
          <w:rFonts w:hint="cs"/>
          <w:sz w:val="20"/>
          <w:szCs w:val="20"/>
          <w:rtl/>
        </w:rPr>
      </w:pPr>
      <w:r>
        <w:rPr>
          <w:rStyle w:val="FootnoteReference"/>
          <w:sz w:val="20"/>
          <w:szCs w:val="20"/>
        </w:rPr>
        <w:footnoteRef/>
      </w:r>
      <w:r>
        <w:rPr>
          <w:sz w:val="20"/>
          <w:szCs w:val="20"/>
        </w:rPr>
        <w:t xml:space="preserve"> </w:t>
      </w:r>
      <w:r>
        <w:rPr>
          <w:rFonts w:hint="cs"/>
          <w:sz w:val="20"/>
          <w:szCs w:val="20"/>
          <w:rtl/>
        </w:rPr>
        <w:t xml:space="preserve"> דוגמה: א' מחזיק 30% מהזכות להשתתף ברווחי תאגיד ב'. יתרת הזכויות בתאגיד ב' מוחזקות על ידי ג'. תאגיד ב' מחזיק ב- 60% מהזכות להשתתף ברווחי תאגיד ד'. שיעור ההחזקה של א' בזכות להשתתף ברווחי תאגיד ד' הוא 18% (30%*60%). שיעור ההחזקה של ג' בזכות להשתתף ברווחי תאגיד ד' הוא 42% (70%*60%).  </w:t>
      </w:r>
    </w:p>
  </w:footnote>
  <w:footnote w:id="40">
    <w:p w:rsidR="00293CD3" w:rsidRDefault="00293CD3" w:rsidP="009430B1">
      <w:pPr>
        <w:pStyle w:val="FootnoteText"/>
        <w:spacing w:before="100" w:beforeAutospacing="1" w:line="240" w:lineRule="auto"/>
        <w:rPr>
          <w:rFonts w:hint="cs"/>
          <w:rtl/>
        </w:rPr>
      </w:pPr>
      <w:r>
        <w:rPr>
          <w:rStyle w:val="FootnoteReference"/>
        </w:rPr>
        <w:footnoteRef/>
      </w:r>
      <w:r>
        <w:t xml:space="preserve"> </w:t>
      </w:r>
      <w:r>
        <w:rPr>
          <w:rFonts w:hint="cs"/>
          <w:rtl/>
        </w:rPr>
        <w:t xml:space="preserve"> למען הסר ספק, רשימה זו אינה ממצה את כל הדרכים באמצעותם יכולה להתבצע רכישה עקיפה של זכויות בתאגיד.  </w:t>
      </w:r>
    </w:p>
  </w:footnote>
  <w:footnote w:id="41">
    <w:p w:rsidR="00293CD3" w:rsidRPr="00991DEE" w:rsidRDefault="00293CD3" w:rsidP="009430B1">
      <w:pPr>
        <w:pStyle w:val="FootnoteText"/>
        <w:spacing w:before="100" w:beforeAutospacing="1" w:line="240" w:lineRule="auto"/>
        <w:rPr>
          <w:rFonts w:hint="cs"/>
        </w:rPr>
      </w:pPr>
      <w:r w:rsidRPr="00991DEE">
        <w:rPr>
          <w:rStyle w:val="FootnoteReference"/>
        </w:rPr>
        <w:footnoteRef/>
      </w:r>
      <w:r w:rsidRPr="00991DEE">
        <w:rPr>
          <w:rtl/>
        </w:rPr>
        <w:t xml:space="preserve"> </w:t>
      </w:r>
      <w:r w:rsidRPr="00991DEE">
        <w:rPr>
          <w:rFonts w:hint="cs"/>
          <w:rtl/>
        </w:rPr>
        <w:t>ייתכנו מצבים בהם אגב מיזוג בין חברה אם לחברה בת יתקיים מיזוג בעקיפין בין החברה האם לחברה נכדה. לדוגמה: חברה א' מחזיקה ב- 60% ממניות חברה ב' ואילו חברה ב' מחזיקה ב- 60% ממניות חברה ג'. כאשר חברה א' מגדילה החזקתה בחברה ב' ל- 100%, גדלה החזקתה בזכויות הפאסיביות בחברה ג' מ- 36% (60*60) ל- 60. על פי לשון החוק טעונה עסקה זו הגשת הודעת מיזוג, שכן מוקנית בה החזק</w:t>
      </w:r>
      <w:r>
        <w:rPr>
          <w:rFonts w:hint="cs"/>
          <w:rtl/>
        </w:rPr>
        <w:t>ה</w:t>
      </w:r>
      <w:r w:rsidRPr="00991DEE">
        <w:rPr>
          <w:rFonts w:hint="cs"/>
          <w:rtl/>
        </w:rPr>
        <w:t xml:space="preserve"> העולה על מחצית מהזכויות בתאגיד. בנוסף, אין תחולה ישירה למדיניות הרשות הנוגעת למיזוג בין חברה אם לחברה בת על מקרה זה. עם זאת, ככלל תראה הרשות מיזוג עקיף זה כמיזוג הנבלע במהלך הפנים ארגוני ולפיכך לא תעמוד על הגשת הודעת מיזוג בגינו.    </w:t>
      </w:r>
    </w:p>
  </w:footnote>
  <w:footnote w:id="42">
    <w:p w:rsidR="00293CD3" w:rsidRPr="00CB5B03" w:rsidRDefault="00293CD3" w:rsidP="009430B1">
      <w:pPr>
        <w:tabs>
          <w:tab w:val="left" w:pos="926"/>
        </w:tabs>
        <w:spacing w:before="100" w:beforeAutospacing="1" w:line="240" w:lineRule="auto"/>
        <w:ind w:left="32"/>
        <w:rPr>
          <w:rFonts w:hint="cs"/>
          <w:b/>
          <w:bCs/>
          <w:sz w:val="20"/>
          <w:szCs w:val="20"/>
          <w:lang w:eastAsia="en-US"/>
        </w:rPr>
      </w:pPr>
      <w:r w:rsidRPr="00016233">
        <w:rPr>
          <w:rStyle w:val="FootnoteReference"/>
          <w:sz w:val="20"/>
          <w:szCs w:val="20"/>
        </w:rPr>
        <w:footnoteRef/>
      </w:r>
      <w:r w:rsidRPr="00016233">
        <w:rPr>
          <w:sz w:val="20"/>
          <w:szCs w:val="20"/>
          <w:rtl/>
        </w:rPr>
        <w:t xml:space="preserve"> </w:t>
      </w:r>
      <w:r w:rsidRPr="00016233">
        <w:rPr>
          <w:rFonts w:hint="cs"/>
          <w:sz w:val="20"/>
          <w:szCs w:val="20"/>
          <w:rtl/>
          <w:lang w:eastAsia="en-US"/>
        </w:rPr>
        <w:t xml:space="preserve">ראה בהרחבה, </w:t>
      </w:r>
      <w:r w:rsidRPr="00CB5B03">
        <w:rPr>
          <w:rFonts w:hint="cs"/>
          <w:b/>
          <w:bCs/>
          <w:sz w:val="20"/>
          <w:szCs w:val="20"/>
          <w:rtl/>
          <w:lang w:eastAsia="en-US"/>
        </w:rPr>
        <w:t>גילוי דעת 2/00 החובה להגיש הודעת מיזוג אגב רכישה עצמית של מניות</w:t>
      </w:r>
      <w:r w:rsidRPr="00016233">
        <w:rPr>
          <w:rFonts w:hint="cs"/>
          <w:sz w:val="20"/>
          <w:szCs w:val="20"/>
          <w:rtl/>
          <w:lang w:eastAsia="en-US"/>
        </w:rPr>
        <w:t xml:space="preserve">; 2000 </w:t>
      </w:r>
      <w:r w:rsidRPr="00CB5B03">
        <w:rPr>
          <w:rFonts w:hint="cs"/>
          <w:b/>
          <w:bCs/>
          <w:sz w:val="20"/>
          <w:szCs w:val="20"/>
          <w:rtl/>
          <w:lang w:eastAsia="en-US"/>
        </w:rPr>
        <w:t>הגבלים עסקיים 3008218.</w:t>
      </w:r>
    </w:p>
  </w:footnote>
  <w:footnote w:id="43">
    <w:p w:rsidR="00293CD3" w:rsidRDefault="00293CD3" w:rsidP="009430B1">
      <w:pPr>
        <w:tabs>
          <w:tab w:val="left" w:pos="926"/>
        </w:tabs>
        <w:spacing w:before="100" w:beforeAutospacing="1" w:line="240" w:lineRule="auto"/>
        <w:rPr>
          <w:rFonts w:hint="cs"/>
          <w:rtl/>
        </w:rPr>
      </w:pPr>
      <w:r>
        <w:rPr>
          <w:rStyle w:val="FootnoteReference"/>
          <w:sz w:val="20"/>
          <w:szCs w:val="20"/>
        </w:rPr>
        <w:footnoteRef/>
      </w:r>
      <w:r>
        <w:t xml:space="preserve"> </w:t>
      </w:r>
      <w:r>
        <w:rPr>
          <w:rFonts w:hint="cs"/>
          <w:rtl/>
        </w:rPr>
        <w:t xml:space="preserve"> </w:t>
      </w:r>
      <w:r>
        <w:rPr>
          <w:rFonts w:hint="cs"/>
          <w:sz w:val="20"/>
          <w:szCs w:val="20"/>
          <w:rtl/>
          <w:lang w:eastAsia="en-US"/>
        </w:rPr>
        <w:t xml:space="preserve">דוגמה: א' מחזיק ב- 20% מכוח ההצבעה בחברה ב'. ג' מחזיק ב </w:t>
      </w:r>
      <w:r>
        <w:rPr>
          <w:sz w:val="20"/>
          <w:szCs w:val="20"/>
          <w:rtl/>
          <w:lang w:eastAsia="en-US"/>
        </w:rPr>
        <w:t>–</w:t>
      </w:r>
      <w:r>
        <w:rPr>
          <w:rFonts w:hint="cs"/>
          <w:sz w:val="20"/>
          <w:szCs w:val="20"/>
          <w:rtl/>
          <w:lang w:eastAsia="en-US"/>
        </w:rPr>
        <w:t xml:space="preserve"> 15% מכוח ההצבעה בחברה ב'. א' ו- ג' מגיעים לכלל הסכמה כי יפעילו את כוח ההצבעה שלהם במשותף. במקרה כזה רואים כל אחד מהם כאילו רכש 35% מכוח ההצבעה בחברה. הסדר זה מקים אפוא מיזוג חברות. </w:t>
      </w:r>
    </w:p>
  </w:footnote>
  <w:footnote w:id="44">
    <w:p w:rsidR="00293CD3" w:rsidRDefault="00293CD3" w:rsidP="009430B1">
      <w:pPr>
        <w:pStyle w:val="FootnoteText"/>
        <w:spacing w:before="100" w:beforeAutospacing="1" w:line="240" w:lineRule="auto"/>
        <w:rPr>
          <w:rFonts w:hint="cs"/>
          <w:rtl/>
        </w:rPr>
      </w:pPr>
      <w:r>
        <w:rPr>
          <w:rStyle w:val="FootnoteReference"/>
        </w:rPr>
        <w:footnoteRef/>
      </w:r>
      <w:r>
        <w:t xml:space="preserve"> </w:t>
      </w:r>
      <w:r>
        <w:rPr>
          <w:rFonts w:hint="cs"/>
          <w:rtl/>
        </w:rPr>
        <w:t xml:space="preserve"> דוגמה מובהקת לכך מצויה במקרה בו מוכרת רשת מלונות את פעילותה באילת, תוך שנותרת בידיה פעילות משמעותית המנוהלת באזורים אחרים בארץ. </w:t>
      </w:r>
    </w:p>
  </w:footnote>
  <w:footnote w:id="45">
    <w:p w:rsidR="00293CD3" w:rsidRDefault="00293CD3" w:rsidP="009430B1">
      <w:pPr>
        <w:pStyle w:val="FootnoteText"/>
        <w:spacing w:before="100" w:beforeAutospacing="1" w:line="240" w:lineRule="auto"/>
        <w:rPr>
          <w:rFonts w:hint="cs"/>
          <w:rtl/>
        </w:rPr>
      </w:pPr>
      <w:r>
        <w:rPr>
          <w:rStyle w:val="FootnoteReference"/>
        </w:rPr>
        <w:footnoteRef/>
      </w:r>
      <w:r>
        <w:t xml:space="preserve"> </w:t>
      </w:r>
      <w:r>
        <w:rPr>
          <w:rFonts w:hint="cs"/>
          <w:rtl/>
        </w:rPr>
        <w:t xml:space="preserve"> בכלל זה עשויים לבוא סימני מסחר, שמות מותג וזכויות קניין רוחני אחרות שנושאות השפעה מהותית ומכרעת על הפעילות התחרותית של התאגיד בתחום מוגדר.  </w:t>
      </w:r>
    </w:p>
  </w:footnote>
  <w:footnote w:id="46">
    <w:p w:rsidR="00293CD3" w:rsidRPr="00951DD3" w:rsidRDefault="00293CD3" w:rsidP="009430B1">
      <w:pPr>
        <w:pStyle w:val="FootnoteText"/>
        <w:spacing w:before="100" w:beforeAutospacing="1" w:line="240" w:lineRule="auto"/>
        <w:rPr>
          <w:rFonts w:hint="cs"/>
        </w:rPr>
      </w:pPr>
      <w:r w:rsidRPr="00951DD3">
        <w:rPr>
          <w:rStyle w:val="FootnoteReference"/>
        </w:rPr>
        <w:footnoteRef/>
      </w:r>
      <w:r w:rsidRPr="00951DD3">
        <w:rPr>
          <w:rtl/>
        </w:rPr>
        <w:t xml:space="preserve"> </w:t>
      </w:r>
      <w:r w:rsidRPr="00951DD3">
        <w:rPr>
          <w:rFonts w:hint="cs"/>
          <w:rtl/>
        </w:rPr>
        <w:t xml:space="preserve">לעניין זה, ראה </w:t>
      </w:r>
      <w:r w:rsidRPr="00951DD3">
        <w:rPr>
          <w:rFonts w:hint="cs"/>
          <w:b/>
          <w:bCs/>
          <w:rtl/>
        </w:rPr>
        <w:t>פרשת זלקינד</w:t>
      </w:r>
      <w:r>
        <w:rPr>
          <w:rFonts w:hint="cs"/>
          <w:rtl/>
        </w:rPr>
        <w:t xml:space="preserve">, לעיל הערה 1; </w:t>
      </w:r>
      <w:r>
        <w:rPr>
          <w:rFonts w:hint="cs"/>
          <w:b/>
          <w:bCs/>
          <w:rtl/>
        </w:rPr>
        <w:t>עניין צובר גולקל</w:t>
      </w:r>
      <w:r>
        <w:rPr>
          <w:rFonts w:hint="cs"/>
          <w:rtl/>
        </w:rPr>
        <w:t>, לעיל הערה 8.</w:t>
      </w:r>
      <w:r w:rsidRPr="00951DD3">
        <w:rPr>
          <w:rFonts w:hint="cs"/>
          <w:b/>
          <w:bCs/>
          <w:rtl/>
        </w:rPr>
        <w:t xml:space="preserve">    </w:t>
      </w:r>
    </w:p>
  </w:footnote>
  <w:footnote w:id="47">
    <w:p w:rsidR="00293CD3" w:rsidRDefault="00293CD3" w:rsidP="009430B1">
      <w:pPr>
        <w:pStyle w:val="FootnoteText"/>
        <w:spacing w:before="100" w:beforeAutospacing="1" w:line="240" w:lineRule="auto"/>
        <w:rPr>
          <w:rFonts w:hint="cs"/>
          <w:rtl/>
        </w:rPr>
      </w:pPr>
      <w:r>
        <w:rPr>
          <w:rStyle w:val="FootnoteReference"/>
        </w:rPr>
        <w:footnoteRef/>
      </w:r>
      <w:r>
        <w:rPr>
          <w:rFonts w:hint="cs"/>
          <w:rtl/>
        </w:rPr>
        <w:t xml:space="preserve">  כאשר משתמשים אנו במונח "</w:t>
      </w:r>
      <w:r w:rsidRPr="00B8307D">
        <w:rPr>
          <w:rFonts w:hint="cs"/>
          <w:b/>
          <w:bCs/>
          <w:rtl/>
        </w:rPr>
        <w:t>שליטה</w:t>
      </w:r>
      <w:r>
        <w:rPr>
          <w:rFonts w:hint="cs"/>
          <w:rtl/>
        </w:rPr>
        <w:t xml:space="preserve">" במסמך זה, מכוונים אנו ככלל  למשמעות הכלכלית </w:t>
      </w:r>
      <w:r>
        <w:rPr>
          <w:rtl/>
        </w:rPr>
        <w:t>–</w:t>
      </w:r>
      <w:r>
        <w:rPr>
          <w:rFonts w:hint="cs"/>
          <w:rtl/>
        </w:rPr>
        <w:t xml:space="preserve"> מהותית של מונח  זה.  נוסח משפטי של שליטה מהסוג האמור  מצוי </w:t>
      </w:r>
      <w:r w:rsidRPr="00CB5B03">
        <w:rPr>
          <w:rFonts w:hint="cs"/>
          <w:b/>
          <w:bCs/>
          <w:rtl/>
        </w:rPr>
        <w:t xml:space="preserve">בכללי ההגבלים העסקיים (הוראות והגדרות כלליות), התשס"ו </w:t>
      </w:r>
      <w:r w:rsidRPr="00CB5B03">
        <w:rPr>
          <w:b/>
          <w:bCs/>
          <w:rtl/>
        </w:rPr>
        <w:t>–</w:t>
      </w:r>
      <w:r w:rsidRPr="00CB5B03">
        <w:rPr>
          <w:rFonts w:hint="cs"/>
          <w:b/>
          <w:bCs/>
          <w:rtl/>
        </w:rPr>
        <w:t xml:space="preserve"> 2006</w:t>
      </w:r>
      <w:r>
        <w:rPr>
          <w:rFonts w:hint="cs"/>
          <w:rtl/>
        </w:rPr>
        <w:t xml:space="preserve"> (להלן : "</w:t>
      </w:r>
      <w:r w:rsidRPr="00467492">
        <w:rPr>
          <w:rFonts w:hint="cs"/>
          <w:b/>
          <w:bCs/>
          <w:rtl/>
        </w:rPr>
        <w:t>כללי ההגבלים העסקיים</w:t>
      </w:r>
      <w:r>
        <w:rPr>
          <w:rFonts w:hint="cs"/>
          <w:rtl/>
        </w:rPr>
        <w:t>").</w:t>
      </w:r>
    </w:p>
  </w:footnote>
  <w:footnote w:id="48">
    <w:p w:rsidR="00293CD3" w:rsidRPr="00951DD3" w:rsidRDefault="00293CD3" w:rsidP="009430B1">
      <w:pPr>
        <w:pStyle w:val="BodyTextIndent3"/>
        <w:spacing w:before="100" w:beforeAutospacing="1" w:line="240" w:lineRule="auto"/>
        <w:ind w:left="0"/>
        <w:rPr>
          <w:rFonts w:hint="cs"/>
          <w:sz w:val="20"/>
          <w:szCs w:val="20"/>
          <w:rtl/>
        </w:rPr>
      </w:pPr>
      <w:r w:rsidRPr="00951DD3">
        <w:rPr>
          <w:rStyle w:val="FootnoteReference"/>
          <w:sz w:val="20"/>
          <w:szCs w:val="20"/>
        </w:rPr>
        <w:footnoteRef/>
      </w:r>
      <w:r w:rsidRPr="00951DD3">
        <w:rPr>
          <w:sz w:val="20"/>
          <w:szCs w:val="20"/>
          <w:rtl/>
        </w:rPr>
        <w:t xml:space="preserve"> </w:t>
      </w:r>
      <w:r w:rsidRPr="00951DD3">
        <w:rPr>
          <w:rFonts w:hint="cs"/>
          <w:sz w:val="20"/>
          <w:szCs w:val="20"/>
          <w:rtl/>
        </w:rPr>
        <w:t>לדיון מפורט בסוגיה זו ובעקרונות המשמשים להכרעה בה</w:t>
      </w:r>
      <w:r>
        <w:rPr>
          <w:rFonts w:hint="cs"/>
          <w:sz w:val="20"/>
          <w:szCs w:val="20"/>
          <w:rtl/>
        </w:rPr>
        <w:t xml:space="preserve"> ראה</w:t>
      </w:r>
      <w:r w:rsidRPr="00951DD3">
        <w:rPr>
          <w:rFonts w:hint="cs"/>
          <w:sz w:val="20"/>
          <w:szCs w:val="20"/>
          <w:rtl/>
        </w:rPr>
        <w:t xml:space="preserve"> </w:t>
      </w:r>
      <w:r w:rsidRPr="00951DD3">
        <w:rPr>
          <w:rFonts w:hint="cs"/>
          <w:b/>
          <w:bCs/>
          <w:sz w:val="20"/>
          <w:szCs w:val="20"/>
          <w:rtl/>
        </w:rPr>
        <w:t>עניין צובר גולקל</w:t>
      </w:r>
      <w:r w:rsidRPr="00951DD3">
        <w:rPr>
          <w:rFonts w:hint="cs"/>
          <w:sz w:val="20"/>
          <w:szCs w:val="20"/>
          <w:rtl/>
        </w:rPr>
        <w:t xml:space="preserve">, לעיל הערה 8. </w:t>
      </w:r>
    </w:p>
  </w:footnote>
  <w:footnote w:id="49">
    <w:p w:rsidR="00293CD3" w:rsidRDefault="00293CD3" w:rsidP="009430B1">
      <w:pPr>
        <w:pStyle w:val="FootnoteText"/>
        <w:spacing w:before="100" w:beforeAutospacing="1" w:line="240" w:lineRule="auto"/>
        <w:rPr>
          <w:rFonts w:hint="cs"/>
          <w:rtl/>
        </w:rPr>
      </w:pPr>
      <w:r>
        <w:rPr>
          <w:rStyle w:val="FootnoteReference"/>
        </w:rPr>
        <w:footnoteRef/>
      </w:r>
      <w:r>
        <w:t xml:space="preserve"> </w:t>
      </w:r>
      <w:r>
        <w:rPr>
          <w:rFonts w:hint="cs"/>
          <w:rtl/>
        </w:rPr>
        <w:t xml:space="preserve"> יש להזכיר כי אף אם מדובר במיזוג חברות, עדיין לא קמה בהכרח חובת דיווח על העסקה לממונה. חובה כזו תקום רק אם מתקיימת בעסקה אחת החלופות הקבועות בסעיף 17  לחוק. </w:t>
      </w:r>
    </w:p>
  </w:footnote>
  <w:footnote w:id="50">
    <w:p w:rsidR="00293CD3" w:rsidRDefault="00293CD3" w:rsidP="009430B1">
      <w:pPr>
        <w:pStyle w:val="FootnoteText"/>
        <w:spacing w:before="100" w:beforeAutospacing="1" w:line="240" w:lineRule="auto"/>
        <w:rPr>
          <w:rFonts w:hint="cs"/>
          <w:rtl/>
        </w:rPr>
      </w:pPr>
      <w:r>
        <w:rPr>
          <w:rStyle w:val="FootnoteReference"/>
        </w:rPr>
        <w:footnoteRef/>
      </w:r>
      <w:r>
        <w:t xml:space="preserve"> </w:t>
      </w:r>
      <w:r>
        <w:rPr>
          <w:rFonts w:hint="cs"/>
          <w:rtl/>
        </w:rPr>
        <w:t xml:space="preserve"> בין במישרין ובין בעקיפין, בין לבד ובין ביחד עם אחרים, בין בכוח ובין בפועל.  זיקה כזו אינה חייבת לנבוע מבעלות קניינית, אלא יכולה לקום גם כתוצאה מזכויות חוזיות המוקנות לחברה הזרה. </w:t>
      </w:r>
    </w:p>
  </w:footnote>
  <w:footnote w:id="51">
    <w:p w:rsidR="00293CD3" w:rsidRPr="00837A0C" w:rsidRDefault="00293CD3" w:rsidP="009430B1">
      <w:pPr>
        <w:pStyle w:val="FootnoteText"/>
        <w:spacing w:before="100" w:beforeAutospacing="1" w:line="240" w:lineRule="auto"/>
        <w:rPr>
          <w:rFonts w:hint="cs"/>
          <w:rtl/>
        </w:rPr>
      </w:pPr>
      <w:r w:rsidRPr="00837A0C">
        <w:rPr>
          <w:rStyle w:val="FootnoteReference"/>
        </w:rPr>
        <w:footnoteRef/>
      </w:r>
      <w:r w:rsidRPr="00837A0C">
        <w:rPr>
          <w:rtl/>
        </w:rPr>
        <w:t xml:space="preserve"> </w:t>
      </w:r>
      <w:r w:rsidRPr="00837A0C">
        <w:rPr>
          <w:rFonts w:hint="cs"/>
          <w:rtl/>
        </w:rPr>
        <w:t>להרחבה ראה</w:t>
      </w:r>
      <w:r>
        <w:rPr>
          <w:rFonts w:hint="cs"/>
          <w:rtl/>
        </w:rPr>
        <w:t xml:space="preserve"> </w:t>
      </w:r>
      <w:r w:rsidRPr="00837A0C">
        <w:rPr>
          <w:rFonts w:hint="cs"/>
          <w:b/>
          <w:bCs/>
          <w:rtl/>
        </w:rPr>
        <w:t>פרשת תנובה</w:t>
      </w:r>
      <w:r>
        <w:rPr>
          <w:rFonts w:hint="cs"/>
          <w:rtl/>
        </w:rPr>
        <w:t>, לעיל הערה</w:t>
      </w:r>
      <w:r w:rsidR="0080253F">
        <w:rPr>
          <w:rFonts w:hint="cs"/>
          <w:rtl/>
        </w:rPr>
        <w:t xml:space="preserve"> </w:t>
      </w:r>
      <w:r>
        <w:rPr>
          <w:rFonts w:hint="cs"/>
          <w:rtl/>
        </w:rPr>
        <w:t>2.</w:t>
      </w:r>
    </w:p>
  </w:footnote>
  <w:footnote w:id="52">
    <w:p w:rsidR="00293CD3" w:rsidRDefault="00293CD3" w:rsidP="009430B1">
      <w:pPr>
        <w:pStyle w:val="FootnoteText"/>
        <w:spacing w:before="100" w:beforeAutospacing="1" w:line="240" w:lineRule="auto"/>
        <w:rPr>
          <w:rFonts w:hint="cs"/>
        </w:rPr>
      </w:pPr>
      <w:r>
        <w:rPr>
          <w:rStyle w:val="FootnoteReference"/>
        </w:rPr>
        <w:footnoteRef/>
      </w:r>
      <w:r>
        <w:rPr>
          <w:rtl/>
        </w:rPr>
        <w:t xml:space="preserve"> </w:t>
      </w:r>
      <w:r>
        <w:rPr>
          <w:rFonts w:hint="cs"/>
          <w:rtl/>
        </w:rPr>
        <w:t xml:space="preserve">אין צורך שהחברה הזרה תקבע עבור הנציג המקומי את כל ההיבטים האמורים. מדובר בבחינה מהותית של יחסי החברה הזרה עם הנציג המקומי שעניינה אמידת טיב ועומק ההשפעה הנתונה לחברה הזרה על הנציג המקומי. </w:t>
      </w:r>
    </w:p>
  </w:footnote>
  <w:footnote w:id="53">
    <w:p w:rsidR="00293CD3" w:rsidRDefault="00293CD3" w:rsidP="009430B1">
      <w:pPr>
        <w:pStyle w:val="FootnoteText"/>
        <w:spacing w:before="100" w:beforeAutospacing="1" w:line="240" w:lineRule="auto"/>
        <w:rPr>
          <w:rFonts w:hint="cs"/>
          <w:rtl/>
        </w:rPr>
      </w:pPr>
      <w:r>
        <w:rPr>
          <w:rStyle w:val="FootnoteReference"/>
        </w:rPr>
        <w:footnoteRef/>
      </w:r>
      <w:r>
        <w:t xml:space="preserve"> </w:t>
      </w:r>
      <w:r>
        <w:rPr>
          <w:rFonts w:hint="cs"/>
          <w:rtl/>
        </w:rPr>
        <w:t xml:space="preserve"> סעיף 17(א)(2) לחוק ותקנה 9 </w:t>
      </w:r>
      <w:r w:rsidRPr="00CB5B03">
        <w:rPr>
          <w:rFonts w:hint="cs"/>
          <w:b/>
          <w:bCs/>
          <w:rtl/>
        </w:rPr>
        <w:t xml:space="preserve">לתקנות ההגבלים העסקיים (מרשם, פרסום ודיווח על עסקאות) התשס"ד </w:t>
      </w:r>
      <w:r w:rsidRPr="00CB5B03">
        <w:rPr>
          <w:b/>
          <w:bCs/>
          <w:rtl/>
        </w:rPr>
        <w:t>–</w:t>
      </w:r>
      <w:r w:rsidRPr="00CB5B03">
        <w:rPr>
          <w:rFonts w:hint="cs"/>
          <w:b/>
          <w:bCs/>
          <w:rtl/>
        </w:rPr>
        <w:t xml:space="preserve"> 2004</w:t>
      </w:r>
      <w:r>
        <w:rPr>
          <w:rFonts w:hint="cs"/>
          <w:rtl/>
        </w:rPr>
        <w:t xml:space="preserve"> (להלן גם: "</w:t>
      </w:r>
      <w:r>
        <w:rPr>
          <w:rFonts w:hint="cs"/>
          <w:b/>
          <w:bCs/>
          <w:rtl/>
        </w:rPr>
        <w:t>תקנות המיזוגים</w:t>
      </w:r>
      <w:r>
        <w:rPr>
          <w:rFonts w:hint="cs"/>
          <w:rtl/>
        </w:rPr>
        <w:t xml:space="preserve">"). </w:t>
      </w:r>
    </w:p>
  </w:footnote>
  <w:footnote w:id="54">
    <w:p w:rsidR="00293CD3" w:rsidRDefault="00293CD3" w:rsidP="00C867E2">
      <w:pPr>
        <w:pStyle w:val="FootnoteText"/>
        <w:spacing w:before="100" w:beforeAutospacing="1" w:line="240" w:lineRule="auto"/>
        <w:rPr>
          <w:rFonts w:hint="cs"/>
          <w:rtl/>
        </w:rPr>
      </w:pPr>
      <w:r>
        <w:rPr>
          <w:rStyle w:val="FootnoteReference"/>
        </w:rPr>
        <w:footnoteRef/>
      </w:r>
      <w:r>
        <w:rPr>
          <w:rtl/>
        </w:rPr>
        <w:t xml:space="preserve"> </w:t>
      </w:r>
      <w:r>
        <w:rPr>
          <w:rFonts w:hint="cs"/>
          <w:rtl/>
        </w:rPr>
        <w:t xml:space="preserve">קשרי השליטה המוזכרים </w:t>
      </w:r>
      <w:r w:rsidRPr="00D124C0">
        <w:rPr>
          <w:rFonts w:hint="cs"/>
          <w:b/>
          <w:bCs/>
          <w:rtl/>
        </w:rPr>
        <w:t>בהקשר של החלופות הקבועות בסעיף 17 לחוק</w:t>
      </w:r>
      <w:r>
        <w:rPr>
          <w:rFonts w:hint="cs"/>
          <w:rtl/>
        </w:rPr>
        <w:t xml:space="preserve"> מתייחסים להגדרת המונח "שליטה" בחוק, בעוד שבעניינים אחרים הנזכרים במסמך זה מכוונים אנו לפרשנות הנתונה למונח "שליטה" </w:t>
      </w:r>
      <w:r w:rsidRPr="00CB5B03">
        <w:rPr>
          <w:rFonts w:hint="cs"/>
          <w:b/>
          <w:bCs/>
          <w:rtl/>
        </w:rPr>
        <w:t xml:space="preserve">בכללי ההגבלים העסקיים (הוראות והגדרות כלליות), תשס"ו </w:t>
      </w:r>
      <w:r w:rsidRPr="00CB5B03">
        <w:rPr>
          <w:b/>
          <w:bCs/>
          <w:rtl/>
        </w:rPr>
        <w:t>–</w:t>
      </w:r>
      <w:r w:rsidRPr="00CB5B03">
        <w:rPr>
          <w:rFonts w:hint="cs"/>
          <w:b/>
          <w:bCs/>
          <w:rtl/>
        </w:rPr>
        <w:t xml:space="preserve"> 2006</w:t>
      </w:r>
      <w:r>
        <w:rPr>
          <w:rFonts w:hint="cs"/>
          <w:rtl/>
        </w:rPr>
        <w:t xml:space="preserve">.  </w:t>
      </w:r>
    </w:p>
  </w:footnote>
  <w:footnote w:id="55">
    <w:p w:rsidR="00293CD3" w:rsidRPr="009430B1" w:rsidRDefault="00293CD3" w:rsidP="009430B1">
      <w:pPr>
        <w:spacing w:before="100" w:beforeAutospacing="1" w:line="240" w:lineRule="auto"/>
        <w:rPr>
          <w:rFonts w:hint="cs"/>
          <w:sz w:val="20"/>
          <w:szCs w:val="20"/>
        </w:rPr>
      </w:pPr>
      <w:r w:rsidRPr="009430B1">
        <w:rPr>
          <w:rStyle w:val="FootnoteReference"/>
          <w:sz w:val="20"/>
          <w:szCs w:val="20"/>
        </w:rPr>
        <w:footnoteRef/>
      </w:r>
      <w:r w:rsidRPr="009430B1">
        <w:rPr>
          <w:sz w:val="20"/>
          <w:szCs w:val="20"/>
          <w:rtl/>
        </w:rPr>
        <w:t xml:space="preserve"> </w:t>
      </w:r>
      <w:r w:rsidRPr="009430B1">
        <w:rPr>
          <w:rFonts w:hint="cs"/>
          <w:sz w:val="20"/>
          <w:szCs w:val="20"/>
          <w:rtl/>
        </w:rPr>
        <w:t>ראה גם ערר 7/95 "</w:t>
      </w:r>
      <w:r w:rsidRPr="00CB5B03">
        <w:rPr>
          <w:rFonts w:hint="cs"/>
          <w:b/>
          <w:bCs/>
          <w:sz w:val="20"/>
          <w:szCs w:val="20"/>
          <w:rtl/>
        </w:rPr>
        <w:t>בזק" החברה הישראלית לתקשורת בע"מ נ' הממונה על הגבלים עסקיים</w:t>
      </w:r>
      <w:r w:rsidRPr="009430B1">
        <w:rPr>
          <w:rFonts w:hint="cs"/>
          <w:sz w:val="20"/>
          <w:szCs w:val="20"/>
          <w:rtl/>
        </w:rPr>
        <w:t xml:space="preserve">; 1997 </w:t>
      </w:r>
      <w:r w:rsidRPr="00CB5B03">
        <w:rPr>
          <w:rFonts w:hint="cs"/>
          <w:b/>
          <w:bCs/>
          <w:sz w:val="20"/>
          <w:szCs w:val="20"/>
          <w:rtl/>
        </w:rPr>
        <w:t>הגבלים עסקיים</w:t>
      </w:r>
      <w:r w:rsidRPr="009430B1">
        <w:rPr>
          <w:rFonts w:hint="cs"/>
          <w:sz w:val="20"/>
          <w:szCs w:val="20"/>
          <w:rtl/>
        </w:rPr>
        <w:t xml:space="preserve"> 3001553.</w:t>
      </w:r>
    </w:p>
  </w:footnote>
  <w:footnote w:id="56">
    <w:p w:rsidR="00293CD3" w:rsidRPr="009430B1" w:rsidRDefault="00293CD3" w:rsidP="00C867E2">
      <w:pPr>
        <w:pStyle w:val="FootnoteText"/>
        <w:spacing w:before="100" w:beforeAutospacing="1" w:line="240" w:lineRule="auto"/>
        <w:rPr>
          <w:rFonts w:hint="cs"/>
          <w:rtl/>
        </w:rPr>
      </w:pPr>
      <w:r w:rsidRPr="009430B1">
        <w:rPr>
          <w:rStyle w:val="FootnoteReference"/>
        </w:rPr>
        <w:footnoteRef/>
      </w:r>
      <w:r w:rsidRPr="009430B1">
        <w:rPr>
          <w:rtl/>
        </w:rPr>
        <w:t xml:space="preserve"> </w:t>
      </w:r>
      <w:r w:rsidRPr="009430B1">
        <w:rPr>
          <w:rFonts w:hint="cs"/>
          <w:rtl/>
        </w:rPr>
        <w:t xml:space="preserve">מצב נוסף של זיקה תחרותית רלוונטית עשוי להתעורר במצבים בהם הצדדים למיזוג פועלים בשווקים משיקים כמשמעות מונח זה </w:t>
      </w:r>
      <w:r w:rsidRPr="00CB5B03">
        <w:rPr>
          <w:rFonts w:hint="cs"/>
          <w:b/>
          <w:bCs/>
          <w:rtl/>
        </w:rPr>
        <w:t xml:space="preserve">בכללי ההגבלים העסקיים, (הוראות והגדרות כלליות), תשס"ו </w:t>
      </w:r>
      <w:r w:rsidRPr="00CB5B03">
        <w:rPr>
          <w:b/>
          <w:bCs/>
          <w:rtl/>
        </w:rPr>
        <w:t>–</w:t>
      </w:r>
      <w:r w:rsidRPr="00CB5B03">
        <w:rPr>
          <w:rFonts w:hint="cs"/>
          <w:b/>
          <w:bCs/>
          <w:rtl/>
        </w:rPr>
        <w:t xml:space="preserve"> 2006</w:t>
      </w:r>
      <w:r>
        <w:rPr>
          <w:rFonts w:hint="cs"/>
          <w:rtl/>
        </w:rPr>
        <w:t xml:space="preserve">.  </w:t>
      </w:r>
      <w:r w:rsidRPr="009430B1">
        <w:rPr>
          <w:rFonts w:hint="cs"/>
          <w:rtl/>
        </w:rPr>
        <w:t xml:space="preserve"> </w:t>
      </w:r>
    </w:p>
  </w:footnote>
  <w:footnote w:id="57">
    <w:p w:rsidR="00293CD3" w:rsidRPr="009430B1" w:rsidRDefault="00293CD3" w:rsidP="00C867E2">
      <w:pPr>
        <w:pStyle w:val="FootnoteText"/>
        <w:spacing w:before="100" w:beforeAutospacing="1" w:line="240" w:lineRule="auto"/>
        <w:rPr>
          <w:rFonts w:hint="cs"/>
          <w:rtl/>
        </w:rPr>
      </w:pPr>
      <w:r w:rsidRPr="009430B1">
        <w:rPr>
          <w:rStyle w:val="FootnoteReference"/>
        </w:rPr>
        <w:footnoteRef/>
      </w:r>
      <w:r w:rsidRPr="009430B1">
        <w:rPr>
          <w:rtl/>
        </w:rPr>
        <w:t xml:space="preserve"> </w:t>
      </w:r>
      <w:r w:rsidRPr="009430B1">
        <w:rPr>
          <w:rFonts w:hint="cs"/>
          <w:rtl/>
        </w:rPr>
        <w:t xml:space="preserve">ראה, לעניין זה, הגדרת "מתחרה" </w:t>
      </w:r>
      <w:r w:rsidRPr="00CB5B03">
        <w:rPr>
          <w:rFonts w:hint="cs"/>
          <w:b/>
          <w:bCs/>
          <w:rtl/>
        </w:rPr>
        <w:t xml:space="preserve">בכללי ההגבלים העסקיים, (הוראות והגדרות כלליות), תשס"ו </w:t>
      </w:r>
      <w:r w:rsidRPr="00CB5B03">
        <w:rPr>
          <w:b/>
          <w:bCs/>
          <w:rtl/>
        </w:rPr>
        <w:t>–</w:t>
      </w:r>
      <w:r w:rsidRPr="00CB5B03">
        <w:rPr>
          <w:rFonts w:hint="cs"/>
          <w:b/>
          <w:bCs/>
          <w:rtl/>
        </w:rPr>
        <w:t xml:space="preserve"> 2006</w:t>
      </w:r>
      <w:r>
        <w:rPr>
          <w:rFonts w:hint="cs"/>
          <w:rtl/>
        </w:rPr>
        <w:t xml:space="preserve">. </w:t>
      </w:r>
      <w:r w:rsidRPr="009430B1">
        <w:rPr>
          <w:rFonts w:hint="cs"/>
          <w:rtl/>
        </w:rPr>
        <w:t xml:space="preserve"> </w:t>
      </w:r>
    </w:p>
  </w:footnote>
  <w:footnote w:id="58">
    <w:p w:rsidR="00293CD3" w:rsidRPr="009430B1" w:rsidRDefault="00293CD3" w:rsidP="00E2627E">
      <w:pPr>
        <w:pStyle w:val="FootnoteText"/>
        <w:rPr>
          <w:rFonts w:hint="cs"/>
          <w:rtl/>
        </w:rPr>
      </w:pPr>
      <w:r w:rsidRPr="009430B1">
        <w:rPr>
          <w:rStyle w:val="FootnoteReference"/>
        </w:rPr>
        <w:footnoteRef/>
      </w:r>
      <w:r w:rsidRPr="009430B1">
        <w:rPr>
          <w:rtl/>
        </w:rPr>
        <w:t xml:space="preserve"> </w:t>
      </w:r>
      <w:r w:rsidRPr="009430B1">
        <w:rPr>
          <w:rFonts w:hint="cs"/>
          <w:rtl/>
        </w:rPr>
        <w:t xml:space="preserve">מדובר למעשה בכלל החברות הנשלטות, במישרין או בעקיפין, על ידי הגורם הראשוני בשרשרת השליטה במגיש הודעת המיזוג </w:t>
      </w:r>
      <w:r w:rsidRPr="009430B1">
        <w:t>(Ultimate Parent Entity)</w:t>
      </w:r>
      <w:r w:rsidRPr="009430B1">
        <w:rPr>
          <w:rFonts w:hint="cs"/>
          <w:rtl/>
        </w:rPr>
        <w:t xml:space="preserve">, היינו חברות אחיות, נכדות, בנות דודות וכו'. </w:t>
      </w:r>
    </w:p>
  </w:footnote>
  <w:footnote w:id="59">
    <w:p w:rsidR="00293CD3" w:rsidRDefault="00293CD3" w:rsidP="009430B1">
      <w:pPr>
        <w:pStyle w:val="FootnoteText"/>
        <w:spacing w:before="100" w:beforeAutospacing="1" w:line="240" w:lineRule="auto"/>
        <w:rPr>
          <w:rFonts w:hint="cs"/>
          <w:rtl/>
        </w:rPr>
      </w:pPr>
      <w:r>
        <w:rPr>
          <w:rStyle w:val="FootnoteReference"/>
        </w:rPr>
        <w:footnoteRef/>
      </w:r>
      <w:r>
        <w:t xml:space="preserve"> </w:t>
      </w:r>
      <w:r>
        <w:rPr>
          <w:rFonts w:hint="cs"/>
          <w:rtl/>
        </w:rPr>
        <w:t xml:space="preserve"> לדוגמה: חברה א' מתמזגת עם חברה ד'. חברה א' נשלטת על ידי שמעון ששולט בחברה ב' אשר שולטת מצדה  בחברה ג'. לצורך חישוב מחזור המכירות של חברה א' יובא בחשבון גם מחזור המכירות של החברות ב' ו- ג'.   </w:t>
      </w:r>
    </w:p>
  </w:footnote>
  <w:footnote w:id="60">
    <w:p w:rsidR="00293CD3" w:rsidRDefault="00293CD3" w:rsidP="009430B1">
      <w:pPr>
        <w:pStyle w:val="FootnoteText"/>
        <w:spacing w:before="100" w:beforeAutospacing="1" w:line="240" w:lineRule="auto"/>
        <w:rPr>
          <w:rFonts w:hint="cs"/>
          <w:rtl/>
        </w:rPr>
      </w:pPr>
      <w:r>
        <w:rPr>
          <w:rStyle w:val="FootnoteReference"/>
        </w:rPr>
        <w:footnoteRef/>
      </w:r>
      <w:r>
        <w:t xml:space="preserve"> </w:t>
      </w:r>
      <w:r>
        <w:rPr>
          <w:rFonts w:hint="cs"/>
          <w:rtl/>
        </w:rPr>
        <w:t xml:space="preserve"> כללים דומים נקוטים במערכות חקיקה במשפט המשווה. כך נקבע למשל בסעיף 5.4 לתקנת המיזוגים האירופית החדשה, </w:t>
      </w:r>
      <w:r w:rsidRPr="00467492">
        <w:rPr>
          <w:rFonts w:hint="cs"/>
          <w:b/>
          <w:bCs/>
        </w:rPr>
        <w:t>C</w:t>
      </w:r>
      <w:r w:rsidRPr="00467492">
        <w:rPr>
          <w:b/>
          <w:bCs/>
        </w:rPr>
        <w:t>ouncil Regulation 139/2004 on the Control of Concentrations between Undertakings</w:t>
      </w:r>
      <w:r>
        <w:t xml:space="preserve"> OJ L 24, 29.1.2004</w:t>
      </w:r>
    </w:p>
  </w:footnote>
  <w:footnote w:id="61">
    <w:p w:rsidR="00293CD3" w:rsidRDefault="00293CD3" w:rsidP="009430B1">
      <w:pPr>
        <w:pStyle w:val="FootnoteText"/>
        <w:spacing w:before="100" w:beforeAutospacing="1" w:line="240" w:lineRule="auto"/>
        <w:rPr>
          <w:rFonts w:hint="cs"/>
          <w:rtl/>
        </w:rPr>
      </w:pPr>
      <w:r>
        <w:rPr>
          <w:rStyle w:val="FootnoteReference"/>
        </w:rPr>
        <w:footnoteRef/>
      </w:r>
      <w:r>
        <w:t xml:space="preserve"> </w:t>
      </w:r>
      <w:r>
        <w:rPr>
          <w:rFonts w:hint="cs"/>
          <w:rtl/>
        </w:rPr>
        <w:t xml:space="preserve"> דוגמה: חברה א' מוכרת את כל החזקותיה בחברה ב' לידי חברה ג'. חברה ב' שולטת בחברה ד'. חישוב מחזור המכירות של הצדדים למיזוג ייעשה בדרך הבאה: מחזור המכירות </w:t>
      </w:r>
      <w:r>
        <w:rPr>
          <w:rFonts w:hint="cs"/>
          <w:b/>
          <w:bCs/>
          <w:rtl/>
        </w:rPr>
        <w:t>של הרוכש</w:t>
      </w:r>
      <w:r>
        <w:rPr>
          <w:rFonts w:hint="cs"/>
          <w:rtl/>
        </w:rPr>
        <w:t xml:space="preserve"> יהיה מחזור המכירות המאוחד של הגורם הראשוני השולט בחברה ג'. בהנחה שנותקו בעסקה כל הזיקות בין חברה א' ובין חברה ב', אזי מחזור המכירות </w:t>
      </w:r>
      <w:r>
        <w:rPr>
          <w:rFonts w:hint="cs"/>
          <w:b/>
          <w:bCs/>
          <w:rtl/>
        </w:rPr>
        <w:t>של המוכר</w:t>
      </w:r>
      <w:r>
        <w:rPr>
          <w:rFonts w:hint="cs"/>
          <w:rtl/>
        </w:rPr>
        <w:t xml:space="preserve"> יהיה מחזור המכירות המאוחד של חברה ב' (הכולל את מחזור המכירות של חברה ד').  </w:t>
      </w:r>
    </w:p>
  </w:footnote>
  <w:footnote w:id="62">
    <w:p w:rsidR="00293CD3" w:rsidRDefault="00293CD3" w:rsidP="00560519">
      <w:pPr>
        <w:pStyle w:val="FootnoteText"/>
        <w:spacing w:before="100" w:beforeAutospacing="1" w:line="240" w:lineRule="auto"/>
        <w:rPr>
          <w:rFonts w:hint="cs"/>
          <w:rtl/>
        </w:rPr>
      </w:pPr>
      <w:r>
        <w:rPr>
          <w:rStyle w:val="FootnoteReference"/>
        </w:rPr>
        <w:footnoteRef/>
      </w:r>
      <w:r>
        <w:rPr>
          <w:rtl/>
        </w:rPr>
        <w:t xml:space="preserve"> </w:t>
      </w:r>
      <w:r>
        <w:rPr>
          <w:rFonts w:hint="cs"/>
          <w:rtl/>
        </w:rPr>
        <w:t xml:space="preserve">עם זאת, גם גורם שכל פעילותו מופנית לייצוא עשוי להיות חייב בדיווח, אם למשל נתח השוק המצרפי שלו ושל הצד השני למיזוג </w:t>
      </w:r>
      <w:r>
        <w:rPr>
          <w:rFonts w:hint="cs"/>
          <w:b/>
          <w:bCs/>
          <w:rtl/>
        </w:rPr>
        <w:t xml:space="preserve">בייצור המוצר </w:t>
      </w:r>
      <w:r>
        <w:rPr>
          <w:rFonts w:hint="cs"/>
          <w:rtl/>
        </w:rPr>
        <w:t xml:space="preserve">עולה על מחצית.  </w:t>
      </w:r>
    </w:p>
  </w:footnote>
  <w:footnote w:id="63">
    <w:p w:rsidR="00293CD3" w:rsidRDefault="00293CD3" w:rsidP="009430B1">
      <w:pPr>
        <w:pStyle w:val="FootnoteText"/>
        <w:spacing w:before="100" w:beforeAutospacing="1" w:line="240" w:lineRule="auto"/>
        <w:rPr>
          <w:rFonts w:hint="cs"/>
          <w:rtl/>
        </w:rPr>
      </w:pPr>
      <w:r>
        <w:rPr>
          <w:rStyle w:val="FootnoteReference"/>
        </w:rPr>
        <w:footnoteRef/>
      </w:r>
      <w:r>
        <w:t xml:space="preserve"> </w:t>
      </w:r>
      <w:r>
        <w:rPr>
          <w:rFonts w:hint="cs"/>
          <w:rtl/>
        </w:rPr>
        <w:t xml:space="preserve"> לכלל דומה ראו גם</w:t>
      </w:r>
      <w:r w:rsidRPr="00B75A9C">
        <w:rPr>
          <w:rFonts w:hint="cs"/>
          <w:b/>
          <w:bCs/>
        </w:rPr>
        <w:t>C</w:t>
      </w:r>
      <w:r w:rsidRPr="00B75A9C">
        <w:rPr>
          <w:b/>
          <w:bCs/>
        </w:rPr>
        <w:t>ouncil Regulation 139/2004 on the Control of Concentrations between</w:t>
      </w:r>
      <w:r>
        <w:t xml:space="preserve"> </w:t>
      </w:r>
      <w:r w:rsidRPr="00B75A9C">
        <w:rPr>
          <w:b/>
          <w:bCs/>
        </w:rPr>
        <w:t>Undertakings</w:t>
      </w:r>
      <w:r>
        <w:t xml:space="preserve"> OJ L 24, 29.1.2004</w:t>
      </w:r>
    </w:p>
  </w:footnote>
  <w:footnote w:id="64">
    <w:p w:rsidR="00293CD3" w:rsidRDefault="00293CD3" w:rsidP="002A7327">
      <w:pPr>
        <w:pStyle w:val="FootnoteText"/>
        <w:rPr>
          <w:rFonts w:hint="cs"/>
          <w:rtl/>
        </w:rPr>
      </w:pPr>
      <w:r>
        <w:rPr>
          <w:rStyle w:val="FootnoteReference"/>
        </w:rPr>
        <w:footnoteRef/>
      </w:r>
      <w:r>
        <w:rPr>
          <w:rtl/>
        </w:rPr>
        <w:t xml:space="preserve"> </w:t>
      </w:r>
      <w:r>
        <w:rPr>
          <w:rFonts w:hint="cs"/>
          <w:rtl/>
        </w:rPr>
        <w:t xml:space="preserve">לדוגמה: מיזוג בין חברה שהחזיקה עובר למיזוג 60% מכוח ההצבעה והכוח למינוי דירקטורים בחברה הבת, אך רק 40% מהזכות לרווחים. במסגרת עסקת המיזוג צפויה החברה לחצות את רף החצי בזכות להשתתפות ברווחים. בנסיבות אלה, אין תחולה למדיניות הרשות ואין העסקה פטורה אפריורית מדיווח.   </w:t>
      </w:r>
    </w:p>
  </w:footnote>
  <w:footnote w:id="65">
    <w:p w:rsidR="00293CD3" w:rsidRDefault="00293CD3" w:rsidP="002A7327">
      <w:pPr>
        <w:pStyle w:val="FootnoteText"/>
        <w:rPr>
          <w:rFonts w:hint="cs"/>
        </w:rPr>
      </w:pPr>
      <w:r>
        <w:rPr>
          <w:rStyle w:val="FootnoteReference"/>
        </w:rPr>
        <w:footnoteRef/>
      </w:r>
      <w:r>
        <w:rPr>
          <w:rtl/>
        </w:rPr>
        <w:t xml:space="preserve"> </w:t>
      </w:r>
      <w:r>
        <w:rPr>
          <w:rFonts w:hint="cs"/>
          <w:rtl/>
        </w:rPr>
        <w:t xml:space="preserve">לחישוב מחזור המכירות המאוחד ראה סעיף ה.1.3. לעיל. </w:t>
      </w:r>
    </w:p>
  </w:footnote>
  <w:footnote w:id="66">
    <w:p w:rsidR="00293CD3" w:rsidRDefault="00293CD3" w:rsidP="009430B1">
      <w:pPr>
        <w:pStyle w:val="FootnoteText"/>
        <w:spacing w:before="100" w:beforeAutospacing="1" w:line="240" w:lineRule="auto"/>
        <w:rPr>
          <w:rFonts w:hint="cs"/>
          <w:rtl/>
        </w:rPr>
      </w:pPr>
      <w:r>
        <w:rPr>
          <w:rStyle w:val="FootnoteReference"/>
        </w:rPr>
        <w:footnoteRef/>
      </w:r>
      <w:r>
        <w:t xml:space="preserve"> </w:t>
      </w:r>
      <w:r>
        <w:rPr>
          <w:rFonts w:hint="cs"/>
          <w:rtl/>
        </w:rPr>
        <w:t xml:space="preserve"> שינוי זה קיבל תוקף סטטוטורי </w:t>
      </w:r>
      <w:r w:rsidRPr="00CB5B03">
        <w:rPr>
          <w:rFonts w:hint="cs"/>
          <w:b/>
          <w:bCs/>
          <w:rtl/>
        </w:rPr>
        <w:t xml:space="preserve">בתקנות ההגבלים העסקיים (מרשם, פרסום ודיווח על עסקאות), התשס"ד </w:t>
      </w:r>
      <w:r w:rsidRPr="00CB5B03">
        <w:rPr>
          <w:b/>
          <w:bCs/>
          <w:rtl/>
        </w:rPr>
        <w:t>–</w:t>
      </w:r>
      <w:r w:rsidRPr="00CB5B03">
        <w:rPr>
          <w:rFonts w:hint="cs"/>
          <w:b/>
          <w:bCs/>
          <w:rtl/>
        </w:rPr>
        <w:t xml:space="preserve"> 2004</w:t>
      </w:r>
      <w:r>
        <w:rPr>
          <w:rFonts w:hint="cs"/>
          <w:rtl/>
        </w:rPr>
        <w:t xml:space="preserve">. יש לציין, כי בגדרי המסלול המקוצר עשויים להיכלל מיזוגים עם פוטנציאל נזק לתחרות ואז נכון לדווח עליהם במסלול הרגיל.  </w:t>
      </w:r>
    </w:p>
  </w:footnote>
  <w:footnote w:id="67">
    <w:p w:rsidR="00293CD3" w:rsidRDefault="00293CD3" w:rsidP="00CB5B03">
      <w:pPr>
        <w:pStyle w:val="FootnoteText"/>
        <w:spacing w:before="100" w:beforeAutospacing="1" w:line="240" w:lineRule="auto"/>
        <w:rPr>
          <w:rFonts w:hint="cs"/>
          <w:rtl/>
        </w:rPr>
      </w:pPr>
      <w:r>
        <w:rPr>
          <w:rStyle w:val="FootnoteReference"/>
        </w:rPr>
        <w:footnoteRef/>
      </w:r>
      <w:r>
        <w:rPr>
          <w:rtl/>
        </w:rPr>
        <w:t xml:space="preserve"> </w:t>
      </w:r>
      <w:r>
        <w:rPr>
          <w:rFonts w:hint="cs"/>
          <w:rtl/>
        </w:rPr>
        <w:t xml:space="preserve">לדיון נרחב ברפורמה שיזמה הרשות בתחום הדיווח על מיזוגים ולמדיניות הרשות בעניינים מעשיים הנוגעים ליישומה ראה </w:t>
      </w:r>
      <w:r w:rsidRPr="00B75A9C">
        <w:rPr>
          <w:rFonts w:hint="cs"/>
          <w:b/>
          <w:bCs/>
          <w:rtl/>
        </w:rPr>
        <w:t>מסמך שאלות ותשובות בעניין דיווח על מיזוגים</w:t>
      </w:r>
      <w:r>
        <w:rPr>
          <w:rFonts w:hint="cs"/>
          <w:rtl/>
        </w:rPr>
        <w:t>; 2005 הגבלים עסקיים 5000120 (להלן: "</w:t>
      </w:r>
      <w:r w:rsidRPr="005F5CE2">
        <w:rPr>
          <w:rFonts w:hint="cs"/>
          <w:b/>
          <w:bCs/>
          <w:rtl/>
        </w:rPr>
        <w:t>מסמך שאלות ותשובות בעניין דיווח על מיזוגים</w:t>
      </w:r>
      <w:r>
        <w:rPr>
          <w:rFonts w:hint="cs"/>
          <w:rtl/>
        </w:rPr>
        <w:t>")</w:t>
      </w:r>
    </w:p>
  </w:footnote>
  <w:footnote w:id="68">
    <w:p w:rsidR="00293CD3" w:rsidRDefault="00293CD3" w:rsidP="009430B1">
      <w:pPr>
        <w:pStyle w:val="FootnoteText"/>
        <w:spacing w:before="100" w:beforeAutospacing="1" w:line="240" w:lineRule="auto"/>
        <w:rPr>
          <w:rFonts w:hint="cs"/>
          <w:rtl/>
        </w:rPr>
      </w:pPr>
      <w:r>
        <w:rPr>
          <w:rStyle w:val="FootnoteReference"/>
        </w:rPr>
        <w:footnoteRef/>
      </w:r>
      <w:r>
        <w:t xml:space="preserve"> </w:t>
      </w:r>
      <w:r>
        <w:rPr>
          <w:rFonts w:hint="cs"/>
          <w:rtl/>
        </w:rPr>
        <w:t xml:space="preserve"> סעיף 24 לחוק ההגבלים העסקיים מורה כי "לא יסכים הממונה למיזוג חברות, בין בתנאים ובין ללא תנאים, אלא לאחר התייעצות עם הועדה". </w:t>
      </w:r>
    </w:p>
  </w:footnote>
  <w:footnote w:id="69">
    <w:p w:rsidR="00293CD3" w:rsidRDefault="00293CD3" w:rsidP="009430B1">
      <w:pPr>
        <w:pStyle w:val="FootnoteText"/>
        <w:spacing w:before="100" w:beforeAutospacing="1" w:line="240" w:lineRule="auto"/>
        <w:rPr>
          <w:rFonts w:hint="cs"/>
          <w:color w:val="FF6600"/>
          <w:rtl/>
        </w:rPr>
      </w:pPr>
      <w:r>
        <w:rPr>
          <w:rStyle w:val="FootnoteReference"/>
        </w:rPr>
        <w:footnoteRef/>
      </w:r>
      <w:r>
        <w:t xml:space="preserve"> </w:t>
      </w:r>
      <w:r>
        <w:rPr>
          <w:rFonts w:hint="cs"/>
          <w:rtl/>
        </w:rPr>
        <w:t xml:space="preserve"> וזאת להבדיל מבעלי המניות בהן. בעל מניות בחברה ישא בחובת הדיווח מקום בו המיזוג נעשה בינו לבין החברה (למשל עקב הגדלת החזקותיו בחברה). אף שבעל מניות אינו נושא בהכרח </w:t>
      </w:r>
      <w:r>
        <w:rPr>
          <w:rFonts w:hint="cs"/>
          <w:b/>
          <w:bCs/>
          <w:u w:val="single"/>
          <w:rtl/>
        </w:rPr>
        <w:t>בחובת הדיווח</w:t>
      </w:r>
      <w:r>
        <w:rPr>
          <w:rFonts w:hint="cs"/>
          <w:rtl/>
        </w:rPr>
        <w:t xml:space="preserve">, תוטל עליו חבות בדין אם עסקה בה התקשר בוצעה בפועל שלא כדין, שכן </w:t>
      </w:r>
      <w:r>
        <w:rPr>
          <w:rFonts w:hint="cs"/>
          <w:b/>
          <w:bCs/>
          <w:rtl/>
        </w:rPr>
        <w:t xml:space="preserve">החובה </w:t>
      </w:r>
      <w:r>
        <w:rPr>
          <w:rFonts w:hint="cs"/>
          <w:b/>
          <w:bCs/>
          <w:u w:val="single"/>
          <w:rtl/>
        </w:rPr>
        <w:t>שלא לבצע</w:t>
      </w:r>
      <w:r>
        <w:rPr>
          <w:rFonts w:hint="cs"/>
          <w:b/>
          <w:bCs/>
          <w:rtl/>
        </w:rPr>
        <w:t xml:space="preserve"> מיזוג בניגוד לחוק</w:t>
      </w:r>
      <w:r>
        <w:rPr>
          <w:rFonts w:hint="cs"/>
          <w:rtl/>
        </w:rPr>
        <w:t xml:space="preserve"> מוטלת ראש וראשונה על בעלי המניות, בהיותם אלה המבצעים את עסקת המיזוג. לעניין זה, ראה גם </w:t>
      </w:r>
      <w:r w:rsidRPr="005F5CE2">
        <w:rPr>
          <w:rFonts w:hint="cs"/>
          <w:b/>
          <w:bCs/>
          <w:rtl/>
        </w:rPr>
        <w:t>עניין צובר גולקל</w:t>
      </w:r>
      <w:r>
        <w:rPr>
          <w:rFonts w:hint="cs"/>
          <w:rtl/>
        </w:rPr>
        <w:t>, לעיל הערה 8.</w:t>
      </w:r>
    </w:p>
  </w:footnote>
  <w:footnote w:id="70">
    <w:p w:rsidR="00293CD3" w:rsidRDefault="00293CD3" w:rsidP="009430B1">
      <w:pPr>
        <w:pStyle w:val="FootnoteText"/>
        <w:spacing w:before="100" w:beforeAutospacing="1" w:line="240" w:lineRule="auto"/>
        <w:rPr>
          <w:rFonts w:hint="cs"/>
          <w:rtl/>
        </w:rPr>
      </w:pPr>
      <w:r>
        <w:rPr>
          <w:rStyle w:val="FootnoteReference"/>
          <w:rtl/>
        </w:rPr>
        <w:footnoteRef/>
      </w:r>
      <w:r>
        <w:t xml:space="preserve"> </w:t>
      </w:r>
      <w:r>
        <w:rPr>
          <w:rFonts w:hint="cs"/>
          <w:rtl/>
        </w:rPr>
        <w:t xml:space="preserve"> מורכבות המיזוג מושפעת ממעמדם האפקטיבי של הצדדים למיזוג בשוק הרלבנטי. לפיכך, אין להסתפק רק בנתח המצרפי שיוצרת החבירה המבנית בין הפירמות המתמזגות, אלא יש לקחת בחשבון גם הסדרים בין כל אחד מהצדדים למיזוג ובין מתחרים בשוק נושא המיזוג. </w:t>
      </w:r>
      <w:r>
        <w:rPr>
          <w:rFonts w:hint="cs"/>
          <w:b/>
          <w:bCs/>
          <w:rtl/>
        </w:rPr>
        <w:t>לעניין זה, אין כל חשיבות לסיווגו המשפטי של ההסדר (כהסדר כובל אם לאו) כי אם לעצם קיומו</w:t>
      </w:r>
      <w:r>
        <w:rPr>
          <w:rFonts w:hint="cs"/>
          <w:rtl/>
        </w:rPr>
        <w:t xml:space="preserve">.  </w:t>
      </w:r>
    </w:p>
  </w:footnote>
  <w:footnote w:id="71">
    <w:p w:rsidR="00293CD3" w:rsidRPr="005F5CE2" w:rsidRDefault="00293CD3" w:rsidP="008041A1">
      <w:pPr>
        <w:spacing w:before="100" w:beforeAutospacing="1" w:line="240" w:lineRule="auto"/>
        <w:ind w:right="-720"/>
        <w:rPr>
          <w:rFonts w:hint="cs"/>
          <w:sz w:val="20"/>
          <w:szCs w:val="20"/>
          <w:rtl/>
        </w:rPr>
      </w:pPr>
      <w:r w:rsidRPr="005F5CE2">
        <w:rPr>
          <w:rStyle w:val="FootnoteReference"/>
          <w:sz w:val="20"/>
          <w:szCs w:val="20"/>
        </w:rPr>
        <w:footnoteRef/>
      </w:r>
      <w:r w:rsidRPr="005F5CE2">
        <w:rPr>
          <w:sz w:val="20"/>
          <w:szCs w:val="20"/>
          <w:rtl/>
        </w:rPr>
        <w:t xml:space="preserve"> </w:t>
      </w:r>
      <w:r w:rsidRPr="005F5CE2">
        <w:rPr>
          <w:rFonts w:hint="cs"/>
          <w:sz w:val="20"/>
          <w:szCs w:val="20"/>
          <w:rtl/>
        </w:rPr>
        <w:t xml:space="preserve">להרחבה ראה </w:t>
      </w:r>
      <w:r w:rsidRPr="005F5CE2">
        <w:rPr>
          <w:rFonts w:hint="cs"/>
          <w:b/>
          <w:bCs/>
          <w:sz w:val="20"/>
          <w:szCs w:val="20"/>
          <w:rtl/>
        </w:rPr>
        <w:t>מסמך שאלות ותשובות בעניין דיווח על מיזוגים</w:t>
      </w:r>
      <w:r w:rsidRPr="005F5CE2">
        <w:rPr>
          <w:rFonts w:hint="cs"/>
          <w:sz w:val="20"/>
          <w:szCs w:val="20"/>
          <w:rtl/>
        </w:rPr>
        <w:t>, לעיל הערה 6</w:t>
      </w:r>
      <w:r>
        <w:rPr>
          <w:rFonts w:hint="cs"/>
          <w:sz w:val="20"/>
          <w:szCs w:val="20"/>
          <w:rtl/>
        </w:rPr>
        <w:t>6</w:t>
      </w:r>
      <w:r w:rsidRPr="005F5CE2">
        <w:rPr>
          <w:rFonts w:hint="cs"/>
          <w:sz w:val="20"/>
          <w:szCs w:val="20"/>
          <w:rtl/>
        </w:rPr>
        <w:t>.</w:t>
      </w:r>
    </w:p>
  </w:footnote>
  <w:footnote w:id="72">
    <w:p w:rsidR="00293CD3" w:rsidRDefault="00293CD3" w:rsidP="008041A1">
      <w:pPr>
        <w:spacing w:before="100" w:beforeAutospacing="1" w:line="240" w:lineRule="auto"/>
        <w:ind w:right="-720"/>
        <w:rPr>
          <w:rFonts w:hint="cs"/>
          <w:sz w:val="24"/>
          <w:rtl/>
        </w:rPr>
      </w:pPr>
      <w:r>
        <w:rPr>
          <w:rStyle w:val="FootnoteReference"/>
        </w:rPr>
        <w:footnoteRef/>
      </w:r>
      <w:r>
        <w:rPr>
          <w:rtl/>
        </w:rPr>
        <w:t xml:space="preserve"> </w:t>
      </w:r>
      <w:r w:rsidRPr="00521F42">
        <w:rPr>
          <w:rFonts w:hint="cs"/>
          <w:sz w:val="20"/>
          <w:szCs w:val="20"/>
          <w:rtl/>
        </w:rPr>
        <w:t>להרחבה ראה</w:t>
      </w:r>
      <w:r>
        <w:rPr>
          <w:rFonts w:hint="cs"/>
          <w:sz w:val="24"/>
          <w:rtl/>
        </w:rPr>
        <w:t xml:space="preserve"> </w:t>
      </w:r>
      <w:r w:rsidRPr="00B8307D">
        <w:rPr>
          <w:rFonts w:hint="cs"/>
          <w:b/>
          <w:bCs/>
          <w:sz w:val="20"/>
          <w:szCs w:val="20"/>
          <w:rtl/>
        </w:rPr>
        <w:t>מסמך שאלות ותשובות בעניין דיווח על מיזוגים</w:t>
      </w:r>
      <w:r w:rsidRPr="00B8307D">
        <w:rPr>
          <w:rFonts w:hint="cs"/>
          <w:sz w:val="20"/>
          <w:szCs w:val="20"/>
          <w:rtl/>
        </w:rPr>
        <w:t xml:space="preserve">, </w:t>
      </w:r>
      <w:r>
        <w:rPr>
          <w:rFonts w:hint="cs"/>
          <w:sz w:val="20"/>
          <w:szCs w:val="20"/>
          <w:rtl/>
        </w:rPr>
        <w:t>לעיל הערה 66.</w:t>
      </w:r>
    </w:p>
    <w:p w:rsidR="00293CD3" w:rsidRDefault="00293CD3">
      <w:pPr>
        <w:pStyle w:val="FootnoteText"/>
        <w:rPr>
          <w:rFonts w:hint="cs"/>
        </w:rPr>
      </w:pPr>
    </w:p>
  </w:footnote>
  <w:footnote w:id="73">
    <w:p w:rsidR="00293CD3" w:rsidRDefault="00293CD3" w:rsidP="009430B1">
      <w:pPr>
        <w:pStyle w:val="FootnoteText"/>
        <w:spacing w:before="100" w:beforeAutospacing="1" w:line="240" w:lineRule="auto"/>
        <w:rPr>
          <w:rFonts w:hint="cs"/>
          <w:rtl/>
        </w:rPr>
      </w:pPr>
      <w:r>
        <w:rPr>
          <w:rStyle w:val="FootnoteReference"/>
          <w:rtl/>
        </w:rPr>
        <w:footnoteRef/>
      </w:r>
      <w:r>
        <w:t xml:space="preserve"> </w:t>
      </w:r>
      <w:r>
        <w:rPr>
          <w:rFonts w:hint="cs"/>
          <w:rtl/>
        </w:rPr>
        <w:t xml:space="preserve"> טופס הודעת המיזוג אינו מתיימר לכלול את כל הפרטים הדרושים להכרעה בכל מיזוג ומיזוג, כי אם פרטים הנדרשים לפתיחת הליך בדיקה אפקטיבי של המיזוג.  </w:t>
      </w:r>
    </w:p>
  </w:footnote>
  <w:footnote w:id="74">
    <w:p w:rsidR="00293CD3" w:rsidRDefault="00293CD3" w:rsidP="009430B1">
      <w:pPr>
        <w:pStyle w:val="FootnoteText"/>
        <w:spacing w:before="100" w:beforeAutospacing="1" w:line="240" w:lineRule="auto"/>
        <w:rPr>
          <w:rFonts w:hint="cs"/>
          <w:rtl/>
        </w:rPr>
      </w:pPr>
      <w:r>
        <w:rPr>
          <w:rStyle w:val="FootnoteReference"/>
          <w:rtl/>
        </w:rPr>
        <w:footnoteRef/>
      </w:r>
      <w:r>
        <w:t xml:space="preserve"> </w:t>
      </w:r>
      <w:r>
        <w:rPr>
          <w:rFonts w:hint="cs"/>
          <w:rtl/>
        </w:rPr>
        <w:t xml:space="preserve"> ראה סעיף 47 (ב) לחוק. </w:t>
      </w:r>
    </w:p>
  </w:footnote>
  <w:footnote w:id="75">
    <w:p w:rsidR="00293CD3" w:rsidRPr="009D2D57" w:rsidRDefault="00293CD3" w:rsidP="009430B1">
      <w:pPr>
        <w:spacing w:before="100" w:beforeAutospacing="1" w:line="240" w:lineRule="auto"/>
        <w:rPr>
          <w:rFonts w:hint="cs"/>
          <w:sz w:val="20"/>
          <w:szCs w:val="20"/>
          <w:rtl/>
        </w:rPr>
      </w:pPr>
      <w:r w:rsidRPr="009D2D57">
        <w:rPr>
          <w:rStyle w:val="FootnoteReference"/>
          <w:sz w:val="20"/>
          <w:szCs w:val="20"/>
        </w:rPr>
        <w:footnoteRef/>
      </w:r>
      <w:r w:rsidRPr="009D2D57">
        <w:rPr>
          <w:sz w:val="20"/>
          <w:szCs w:val="20"/>
          <w:rtl/>
        </w:rPr>
        <w:t xml:space="preserve"> </w:t>
      </w:r>
      <w:r w:rsidRPr="009D2D57">
        <w:rPr>
          <w:rFonts w:hint="cs"/>
          <w:sz w:val="20"/>
          <w:szCs w:val="20"/>
          <w:rtl/>
        </w:rPr>
        <w:t xml:space="preserve">לעניין זה ראה </w:t>
      </w:r>
      <w:r w:rsidRPr="009430B1">
        <w:rPr>
          <w:rFonts w:hint="cs"/>
          <w:b/>
          <w:bCs/>
          <w:sz w:val="20"/>
          <w:szCs w:val="20"/>
          <w:rtl/>
        </w:rPr>
        <w:t>ההחלטה להתנגד למיזוג החברות פן מדיקל סנטר (1994) בע"מ ו- מור המכון למידע רפואי בע"מ</w:t>
      </w:r>
      <w:r w:rsidRPr="009D2D57">
        <w:rPr>
          <w:rFonts w:hint="cs"/>
          <w:sz w:val="20"/>
          <w:szCs w:val="20"/>
          <w:rtl/>
        </w:rPr>
        <w:t>; 2001 הגבלים עסקיים 3010269.</w:t>
      </w:r>
    </w:p>
  </w:footnote>
  <w:footnote w:id="76">
    <w:p w:rsidR="00293CD3" w:rsidRDefault="00293CD3" w:rsidP="00DA6AE2">
      <w:pPr>
        <w:pStyle w:val="FootnoteText"/>
        <w:spacing w:before="100" w:beforeAutospacing="1" w:line="240" w:lineRule="auto"/>
        <w:rPr>
          <w:rFonts w:hint="cs"/>
          <w:rtl/>
        </w:rPr>
      </w:pPr>
      <w:r>
        <w:rPr>
          <w:rStyle w:val="FootnoteReference"/>
          <w:rtl/>
        </w:rPr>
        <w:footnoteRef/>
      </w:r>
      <w:r>
        <w:t xml:space="preserve"> </w:t>
      </w:r>
      <w:r>
        <w:rPr>
          <w:rFonts w:hint="cs"/>
          <w:rtl/>
        </w:rPr>
        <w:t xml:space="preserve"> כך למשל, בשנת 2005 אושרו כ- 75% מהמיזוגים בתוך שלושים הימים שקוצב החוק למתן החלטת הממונה במיזוג.   </w:t>
      </w:r>
    </w:p>
  </w:footnote>
  <w:footnote w:id="77">
    <w:p w:rsidR="00293CD3" w:rsidRDefault="00293CD3" w:rsidP="009430B1">
      <w:pPr>
        <w:pStyle w:val="FootnoteText"/>
        <w:spacing w:before="100" w:beforeAutospacing="1" w:line="240" w:lineRule="auto"/>
        <w:rPr>
          <w:rFonts w:hint="cs"/>
          <w:rtl/>
        </w:rPr>
      </w:pPr>
      <w:r>
        <w:rPr>
          <w:rStyle w:val="FootnoteReference"/>
          <w:rtl/>
        </w:rPr>
        <w:footnoteRef/>
      </w:r>
      <w:r>
        <w:t xml:space="preserve"> </w:t>
      </w:r>
      <w:r>
        <w:rPr>
          <w:rFonts w:hint="cs"/>
          <w:rtl/>
        </w:rPr>
        <w:t xml:space="preserve">המסגרת הנורמטיבית בארה"ב ובאירופה מאפשרת הארכת משך הבדיקה בהתאם למורכבות המיזוג, כך שהליך בדיקה מורכב אורך לעיתים מספר רב של חודשים.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3CD3" w:rsidRDefault="00293CD3">
    <w:pPr>
      <w:pStyle w:val="Header"/>
      <w:framePr w:wrap="around" w:vAnchor="text" w:hAnchor="margin" w:xAlign="center" w:y="1"/>
      <w:rPr>
        <w:rStyle w:val="PageNumber"/>
        <w:rtl/>
      </w:rPr>
    </w:pPr>
    <w:r>
      <w:rPr>
        <w:rStyle w:val="PageNumber"/>
        <w:rtl/>
      </w:rPr>
      <w:fldChar w:fldCharType="begin"/>
    </w:r>
    <w:r>
      <w:rPr>
        <w:rStyle w:val="PageNumber"/>
      </w:rPr>
      <w:instrText xml:space="preserve">PAGE  </w:instrText>
    </w:r>
    <w:r>
      <w:rPr>
        <w:rStyle w:val="PageNumber"/>
        <w:rtl/>
      </w:rPr>
      <w:fldChar w:fldCharType="end"/>
    </w:r>
  </w:p>
  <w:p w:rsidR="00293CD3" w:rsidRDefault="00293CD3">
    <w:pPr>
      <w:pStyle w:val="Header"/>
      <w:rPr>
        <w:rtl/>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3CD3" w:rsidRDefault="00293CD3" w:rsidP="00A9667B">
    <w:pPr>
      <w:pStyle w:val="Header"/>
      <w:jc w:val="center"/>
      <w:rPr>
        <w:rFonts w:hint="cs"/>
        <w:rtl/>
      </w:rPr>
    </w:pPr>
    <w:r>
      <w:rPr>
        <w:rStyle w:val="PageNumber"/>
      </w:rPr>
      <w:fldChar w:fldCharType="begin"/>
    </w:r>
    <w:r>
      <w:rPr>
        <w:rStyle w:val="PageNumber"/>
      </w:rPr>
      <w:instrText xml:space="preserve"> PAGE </w:instrText>
    </w:r>
    <w:r>
      <w:rPr>
        <w:rStyle w:val="PageNumber"/>
      </w:rPr>
      <w:fldChar w:fldCharType="separate"/>
    </w:r>
    <w:r w:rsidR="004D66A9">
      <w:rPr>
        <w:rStyle w:val="PageNumber"/>
        <w:noProof/>
        <w:rtl/>
      </w:rPr>
      <w:t>20</w:t>
    </w:r>
    <w:r>
      <w:rPr>
        <w:rStyle w:val="PageNumber"/>
      </w:rPr>
      <w:fldChar w:fldCharType="end"/>
    </w:r>
  </w:p>
  <w:p w:rsidR="00293CD3" w:rsidRPr="00A9667B" w:rsidRDefault="00293CD3" w:rsidP="00BC7AE9">
    <w:pPr>
      <w:pStyle w:val="Header"/>
      <w:jc w:val="center"/>
      <w:rPr>
        <w:rFonts w:hint="cs"/>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3CD3" w:rsidRDefault="004D66A9" w:rsidP="00A9667B">
    <w:pPr>
      <w:pStyle w:val="Header"/>
      <w:jc w:val="center"/>
      <w:rPr>
        <w:rFonts w:hint="cs"/>
        <w:rtl/>
      </w:rPr>
    </w:pPr>
    <w:r>
      <w:rPr>
        <w:noProof/>
        <w:lang w:eastAsia="en-US"/>
      </w:rPr>
      <w:drawing>
        <wp:inline distT="0" distB="0" distL="0" distR="0">
          <wp:extent cx="426720" cy="4800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6720" cy="480060"/>
                  </a:xfrm>
                  <a:prstGeom prst="rect">
                    <a:avLst/>
                  </a:prstGeom>
                  <a:noFill/>
                  <a:ln>
                    <a:noFill/>
                  </a:ln>
                </pic:spPr>
              </pic:pic>
            </a:graphicData>
          </a:graphic>
        </wp:inline>
      </w:drawing>
    </w:r>
  </w:p>
  <w:p w:rsidR="00293CD3" w:rsidRDefault="00293CD3" w:rsidP="001F2104">
    <w:pPr>
      <w:jc w:val="center"/>
      <w:rPr>
        <w:rFonts w:cs="Narkisim"/>
        <w:b/>
        <w:bCs/>
        <w:szCs w:val="30"/>
        <w:rtl/>
      </w:rPr>
    </w:pPr>
    <w:r>
      <w:rPr>
        <w:rFonts w:cs="Narkisim" w:hint="eastAsia"/>
        <w:b/>
        <w:bCs/>
        <w:szCs w:val="30"/>
        <w:rtl/>
      </w:rPr>
      <w:t>רשות</w:t>
    </w:r>
    <w:r>
      <w:rPr>
        <w:rFonts w:cs="Narkisim"/>
        <w:b/>
        <w:bCs/>
        <w:szCs w:val="30"/>
        <w:rtl/>
      </w:rPr>
      <w:t xml:space="preserve"> </w:t>
    </w:r>
    <w:r>
      <w:rPr>
        <w:rFonts w:cs="Narkisim" w:hint="eastAsia"/>
        <w:b/>
        <w:bCs/>
        <w:szCs w:val="30"/>
        <w:rtl/>
      </w:rPr>
      <w:t>ההגבלים</w:t>
    </w:r>
    <w:r>
      <w:rPr>
        <w:rFonts w:cs="Narkisim"/>
        <w:b/>
        <w:bCs/>
        <w:szCs w:val="30"/>
        <w:rtl/>
      </w:rPr>
      <w:t xml:space="preserve"> העסקיים</w:t>
    </w:r>
  </w:p>
  <w:p w:rsidR="00293CD3" w:rsidRPr="00A9667B" w:rsidRDefault="00293CD3" w:rsidP="00A548B2">
    <w:pPr>
      <w:pStyle w:val="Header"/>
      <w:jc w:val="center"/>
      <w:rPr>
        <w:rFonts w:hint="c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03461134"/>
    <w:lvl w:ilvl="0">
      <w:numFmt w:val="decimal"/>
      <w:lvlText w:val="*"/>
      <w:lvlJc w:val="left"/>
    </w:lvl>
  </w:abstractNum>
  <w:abstractNum w:abstractNumId="1" w15:restartNumberingAfterBreak="0">
    <w:nsid w:val="005025DD"/>
    <w:multiLevelType w:val="hybridMultilevel"/>
    <w:tmpl w:val="1C9E2EF4"/>
    <w:lvl w:ilvl="0" w:tplc="547445E6">
      <w:start w:val="1"/>
      <w:numFmt w:val="decimal"/>
      <w:lvlText w:val="%1."/>
      <w:lvlJc w:val="left"/>
      <w:pPr>
        <w:tabs>
          <w:tab w:val="num" w:pos="1170"/>
        </w:tabs>
        <w:ind w:left="1170" w:right="1170" w:hanging="360"/>
      </w:pPr>
      <w:rPr>
        <w:rFonts w:hint="cs"/>
      </w:rPr>
    </w:lvl>
    <w:lvl w:ilvl="1" w:tplc="04090011">
      <w:start w:val="1"/>
      <w:numFmt w:val="decimal"/>
      <w:lvlText w:val="%2)"/>
      <w:lvlJc w:val="left"/>
      <w:pPr>
        <w:tabs>
          <w:tab w:val="num" w:pos="1890"/>
        </w:tabs>
        <w:ind w:left="1890" w:hanging="360"/>
      </w:pPr>
      <w:rPr>
        <w:rFonts w:hint="cs"/>
      </w:rPr>
    </w:lvl>
    <w:lvl w:ilvl="2" w:tplc="040D001B" w:tentative="1">
      <w:start w:val="1"/>
      <w:numFmt w:val="lowerRoman"/>
      <w:lvlText w:val="%3."/>
      <w:lvlJc w:val="right"/>
      <w:pPr>
        <w:tabs>
          <w:tab w:val="num" w:pos="2610"/>
        </w:tabs>
        <w:ind w:left="2610" w:right="2610" w:hanging="180"/>
      </w:pPr>
    </w:lvl>
    <w:lvl w:ilvl="3" w:tplc="040D000F" w:tentative="1">
      <w:start w:val="1"/>
      <w:numFmt w:val="decimal"/>
      <w:lvlText w:val="%4."/>
      <w:lvlJc w:val="left"/>
      <w:pPr>
        <w:tabs>
          <w:tab w:val="num" w:pos="3330"/>
        </w:tabs>
        <w:ind w:left="3330" w:right="3330" w:hanging="360"/>
      </w:pPr>
    </w:lvl>
    <w:lvl w:ilvl="4" w:tplc="040D0019" w:tentative="1">
      <w:start w:val="1"/>
      <w:numFmt w:val="lowerLetter"/>
      <w:lvlText w:val="%5."/>
      <w:lvlJc w:val="left"/>
      <w:pPr>
        <w:tabs>
          <w:tab w:val="num" w:pos="4050"/>
        </w:tabs>
        <w:ind w:left="4050" w:right="4050" w:hanging="360"/>
      </w:pPr>
    </w:lvl>
    <w:lvl w:ilvl="5" w:tplc="040D001B" w:tentative="1">
      <w:start w:val="1"/>
      <w:numFmt w:val="lowerRoman"/>
      <w:lvlText w:val="%6."/>
      <w:lvlJc w:val="right"/>
      <w:pPr>
        <w:tabs>
          <w:tab w:val="num" w:pos="4770"/>
        </w:tabs>
        <w:ind w:left="4770" w:right="4770" w:hanging="180"/>
      </w:pPr>
    </w:lvl>
    <w:lvl w:ilvl="6" w:tplc="040D000F" w:tentative="1">
      <w:start w:val="1"/>
      <w:numFmt w:val="decimal"/>
      <w:lvlText w:val="%7."/>
      <w:lvlJc w:val="left"/>
      <w:pPr>
        <w:tabs>
          <w:tab w:val="num" w:pos="5490"/>
        </w:tabs>
        <w:ind w:left="5490" w:right="5490" w:hanging="360"/>
      </w:pPr>
    </w:lvl>
    <w:lvl w:ilvl="7" w:tplc="040D0019" w:tentative="1">
      <w:start w:val="1"/>
      <w:numFmt w:val="lowerLetter"/>
      <w:lvlText w:val="%8."/>
      <w:lvlJc w:val="left"/>
      <w:pPr>
        <w:tabs>
          <w:tab w:val="num" w:pos="6210"/>
        </w:tabs>
        <w:ind w:left="6210" w:right="6210" w:hanging="360"/>
      </w:pPr>
    </w:lvl>
    <w:lvl w:ilvl="8" w:tplc="040D001B" w:tentative="1">
      <w:start w:val="1"/>
      <w:numFmt w:val="lowerRoman"/>
      <w:lvlText w:val="%9."/>
      <w:lvlJc w:val="right"/>
      <w:pPr>
        <w:tabs>
          <w:tab w:val="num" w:pos="6930"/>
        </w:tabs>
        <w:ind w:left="6930" w:right="6930" w:hanging="180"/>
      </w:pPr>
    </w:lvl>
  </w:abstractNum>
  <w:abstractNum w:abstractNumId="2" w15:restartNumberingAfterBreak="0">
    <w:nsid w:val="012B7A86"/>
    <w:multiLevelType w:val="multilevel"/>
    <w:tmpl w:val="2222DE20"/>
    <w:lvl w:ilvl="0">
      <w:start w:val="1"/>
      <w:numFmt w:val="hebrew1"/>
      <w:lvlText w:val="%1."/>
      <w:lvlJc w:val="left"/>
      <w:pPr>
        <w:tabs>
          <w:tab w:val="num" w:pos="720"/>
        </w:tabs>
        <w:ind w:left="720" w:right="720" w:hanging="360"/>
      </w:pPr>
      <w:rPr>
        <w:rFonts w:hint="cs"/>
      </w:rPr>
    </w:lvl>
    <w:lvl w:ilvl="1">
      <w:start w:val="1"/>
      <w:numFmt w:val="decimal"/>
      <w:lvlText w:val="%2."/>
      <w:lvlJc w:val="left"/>
      <w:pPr>
        <w:tabs>
          <w:tab w:val="num" w:pos="1440"/>
        </w:tabs>
        <w:ind w:left="1440" w:right="1440" w:hanging="360"/>
      </w:pPr>
      <w:rPr>
        <w:rFonts w:hint="default"/>
      </w:rPr>
    </w:lvl>
    <w:lvl w:ilvl="2">
      <w:start w:val="1"/>
      <w:numFmt w:val="lowerRoman"/>
      <w:lvlText w:val="%3."/>
      <w:lvlJc w:val="right"/>
      <w:pPr>
        <w:tabs>
          <w:tab w:val="num" w:pos="2160"/>
        </w:tabs>
        <w:ind w:left="2160" w:right="2160" w:hanging="180"/>
      </w:pPr>
    </w:lvl>
    <w:lvl w:ilvl="3">
      <w:start w:val="1"/>
      <w:numFmt w:val="decimal"/>
      <w:lvlText w:val="%4."/>
      <w:lvlJc w:val="left"/>
      <w:pPr>
        <w:tabs>
          <w:tab w:val="num" w:pos="2880"/>
        </w:tabs>
        <w:ind w:left="2880" w:right="2880" w:hanging="360"/>
      </w:pPr>
    </w:lvl>
    <w:lvl w:ilvl="4">
      <w:start w:val="1"/>
      <w:numFmt w:val="bullet"/>
      <w:lvlText w:val=""/>
      <w:lvlJc w:val="left"/>
      <w:pPr>
        <w:tabs>
          <w:tab w:val="num" w:pos="3600"/>
        </w:tabs>
        <w:ind w:left="3600" w:right="3600" w:hanging="360"/>
      </w:pPr>
      <w:rPr>
        <w:rFonts w:ascii="Symbol" w:eastAsia="Times New Roman" w:hAnsi="Symbol" w:cs="David" w:hint="default"/>
      </w:rPr>
    </w:lvl>
    <w:lvl w:ilvl="5">
      <w:start w:val="1"/>
      <w:numFmt w:val="lowerRoman"/>
      <w:lvlText w:val="%6."/>
      <w:lvlJc w:val="right"/>
      <w:pPr>
        <w:tabs>
          <w:tab w:val="num" w:pos="4320"/>
        </w:tabs>
        <w:ind w:left="4320" w:right="4320" w:hanging="180"/>
      </w:pPr>
    </w:lvl>
    <w:lvl w:ilvl="6">
      <w:start w:val="1"/>
      <w:numFmt w:val="decimal"/>
      <w:lvlText w:val="%7."/>
      <w:lvlJc w:val="left"/>
      <w:pPr>
        <w:tabs>
          <w:tab w:val="num" w:pos="5040"/>
        </w:tabs>
        <w:ind w:left="5040" w:right="5040" w:hanging="360"/>
      </w:pPr>
    </w:lvl>
    <w:lvl w:ilvl="7">
      <w:start w:val="1"/>
      <w:numFmt w:val="lowerLetter"/>
      <w:lvlText w:val="%8."/>
      <w:lvlJc w:val="left"/>
      <w:pPr>
        <w:tabs>
          <w:tab w:val="num" w:pos="5760"/>
        </w:tabs>
        <w:ind w:left="5760" w:right="5760" w:hanging="360"/>
      </w:pPr>
    </w:lvl>
    <w:lvl w:ilvl="8">
      <w:start w:val="1"/>
      <w:numFmt w:val="lowerRoman"/>
      <w:lvlText w:val="%9."/>
      <w:lvlJc w:val="right"/>
      <w:pPr>
        <w:tabs>
          <w:tab w:val="num" w:pos="6480"/>
        </w:tabs>
        <w:ind w:left="6480" w:right="6480" w:hanging="180"/>
      </w:pPr>
    </w:lvl>
  </w:abstractNum>
  <w:abstractNum w:abstractNumId="3" w15:restartNumberingAfterBreak="0">
    <w:nsid w:val="05C21B67"/>
    <w:multiLevelType w:val="hybridMultilevel"/>
    <w:tmpl w:val="E8186068"/>
    <w:lvl w:ilvl="0" w:tplc="4C5A856C">
      <w:start w:val="1"/>
      <w:numFmt w:val="hebrew1"/>
      <w:lvlText w:val="(%1)"/>
      <w:lvlJc w:val="left"/>
      <w:pPr>
        <w:tabs>
          <w:tab w:val="num" w:pos="1020"/>
        </w:tabs>
        <w:ind w:left="1020" w:right="1020" w:hanging="360"/>
      </w:pPr>
      <w:rPr>
        <w:rFonts w:hint="default"/>
      </w:rPr>
    </w:lvl>
    <w:lvl w:ilvl="1" w:tplc="040D0019" w:tentative="1">
      <w:start w:val="1"/>
      <w:numFmt w:val="lowerLetter"/>
      <w:lvlText w:val="%2."/>
      <w:lvlJc w:val="left"/>
      <w:pPr>
        <w:tabs>
          <w:tab w:val="num" w:pos="1740"/>
        </w:tabs>
        <w:ind w:left="1740" w:right="1740" w:hanging="360"/>
      </w:pPr>
    </w:lvl>
    <w:lvl w:ilvl="2" w:tplc="040D001B" w:tentative="1">
      <w:start w:val="1"/>
      <w:numFmt w:val="lowerRoman"/>
      <w:lvlText w:val="%3."/>
      <w:lvlJc w:val="right"/>
      <w:pPr>
        <w:tabs>
          <w:tab w:val="num" w:pos="2460"/>
        </w:tabs>
        <w:ind w:left="2460" w:right="2460" w:hanging="180"/>
      </w:pPr>
    </w:lvl>
    <w:lvl w:ilvl="3" w:tplc="040D000F" w:tentative="1">
      <w:start w:val="1"/>
      <w:numFmt w:val="decimal"/>
      <w:lvlText w:val="%4."/>
      <w:lvlJc w:val="left"/>
      <w:pPr>
        <w:tabs>
          <w:tab w:val="num" w:pos="3180"/>
        </w:tabs>
        <w:ind w:left="3180" w:right="3180" w:hanging="360"/>
      </w:pPr>
    </w:lvl>
    <w:lvl w:ilvl="4" w:tplc="040D0019" w:tentative="1">
      <w:start w:val="1"/>
      <w:numFmt w:val="lowerLetter"/>
      <w:lvlText w:val="%5."/>
      <w:lvlJc w:val="left"/>
      <w:pPr>
        <w:tabs>
          <w:tab w:val="num" w:pos="3900"/>
        </w:tabs>
        <w:ind w:left="3900" w:right="3900" w:hanging="360"/>
      </w:pPr>
    </w:lvl>
    <w:lvl w:ilvl="5" w:tplc="040D001B" w:tentative="1">
      <w:start w:val="1"/>
      <w:numFmt w:val="lowerRoman"/>
      <w:lvlText w:val="%6."/>
      <w:lvlJc w:val="right"/>
      <w:pPr>
        <w:tabs>
          <w:tab w:val="num" w:pos="4620"/>
        </w:tabs>
        <w:ind w:left="4620" w:right="4620" w:hanging="180"/>
      </w:pPr>
    </w:lvl>
    <w:lvl w:ilvl="6" w:tplc="040D000F" w:tentative="1">
      <w:start w:val="1"/>
      <w:numFmt w:val="decimal"/>
      <w:lvlText w:val="%7."/>
      <w:lvlJc w:val="left"/>
      <w:pPr>
        <w:tabs>
          <w:tab w:val="num" w:pos="5340"/>
        </w:tabs>
        <w:ind w:left="5340" w:right="5340" w:hanging="360"/>
      </w:pPr>
    </w:lvl>
    <w:lvl w:ilvl="7" w:tplc="040D0019" w:tentative="1">
      <w:start w:val="1"/>
      <w:numFmt w:val="lowerLetter"/>
      <w:lvlText w:val="%8."/>
      <w:lvlJc w:val="left"/>
      <w:pPr>
        <w:tabs>
          <w:tab w:val="num" w:pos="6060"/>
        </w:tabs>
        <w:ind w:left="6060" w:right="6060" w:hanging="360"/>
      </w:pPr>
    </w:lvl>
    <w:lvl w:ilvl="8" w:tplc="040D001B" w:tentative="1">
      <w:start w:val="1"/>
      <w:numFmt w:val="lowerRoman"/>
      <w:lvlText w:val="%9."/>
      <w:lvlJc w:val="right"/>
      <w:pPr>
        <w:tabs>
          <w:tab w:val="num" w:pos="6780"/>
        </w:tabs>
        <w:ind w:left="6780" w:right="6780" w:hanging="180"/>
      </w:pPr>
    </w:lvl>
  </w:abstractNum>
  <w:abstractNum w:abstractNumId="4" w15:restartNumberingAfterBreak="0">
    <w:nsid w:val="0F770444"/>
    <w:multiLevelType w:val="multilevel"/>
    <w:tmpl w:val="ECE82872"/>
    <w:lvl w:ilvl="0">
      <w:start w:val="1"/>
      <w:numFmt w:val="hebrew1"/>
      <w:lvlText w:val="%1."/>
      <w:lvlJc w:val="left"/>
      <w:pPr>
        <w:tabs>
          <w:tab w:val="num" w:pos="392"/>
        </w:tabs>
        <w:ind w:left="392" w:right="720" w:hanging="360"/>
      </w:pPr>
      <w:rPr>
        <w:rFonts w:hint="cs"/>
      </w:rPr>
    </w:lvl>
    <w:lvl w:ilvl="1">
      <w:start w:val="1"/>
      <w:numFmt w:val="lowerLetter"/>
      <w:lvlText w:val="%2."/>
      <w:lvlJc w:val="left"/>
      <w:pPr>
        <w:tabs>
          <w:tab w:val="num" w:pos="1247"/>
        </w:tabs>
        <w:ind w:left="1247" w:right="1740" w:hanging="360"/>
      </w:pPr>
    </w:lvl>
    <w:lvl w:ilvl="2">
      <w:start w:val="1"/>
      <w:numFmt w:val="lowerRoman"/>
      <w:lvlText w:val="%3."/>
      <w:lvlJc w:val="right"/>
      <w:pPr>
        <w:tabs>
          <w:tab w:val="num" w:pos="1967"/>
        </w:tabs>
        <w:ind w:left="1967" w:right="2460" w:hanging="180"/>
      </w:pPr>
    </w:lvl>
    <w:lvl w:ilvl="3">
      <w:start w:val="1"/>
      <w:numFmt w:val="decimal"/>
      <w:lvlText w:val="%4."/>
      <w:lvlJc w:val="left"/>
      <w:pPr>
        <w:tabs>
          <w:tab w:val="num" w:pos="2687"/>
        </w:tabs>
        <w:ind w:left="2687" w:right="3180" w:hanging="360"/>
      </w:pPr>
    </w:lvl>
    <w:lvl w:ilvl="4">
      <w:start w:val="1"/>
      <w:numFmt w:val="lowerLetter"/>
      <w:lvlText w:val="%5."/>
      <w:lvlJc w:val="left"/>
      <w:pPr>
        <w:tabs>
          <w:tab w:val="num" w:pos="3407"/>
        </w:tabs>
        <w:ind w:left="3407" w:right="3900" w:hanging="360"/>
      </w:pPr>
    </w:lvl>
    <w:lvl w:ilvl="5">
      <w:start w:val="1"/>
      <w:numFmt w:val="lowerRoman"/>
      <w:lvlText w:val="%6."/>
      <w:lvlJc w:val="right"/>
      <w:pPr>
        <w:tabs>
          <w:tab w:val="num" w:pos="4127"/>
        </w:tabs>
        <w:ind w:left="4127" w:right="4620" w:hanging="180"/>
      </w:pPr>
    </w:lvl>
    <w:lvl w:ilvl="6">
      <w:start w:val="1"/>
      <w:numFmt w:val="decimal"/>
      <w:lvlText w:val="%7."/>
      <w:lvlJc w:val="left"/>
      <w:pPr>
        <w:tabs>
          <w:tab w:val="num" w:pos="4847"/>
        </w:tabs>
        <w:ind w:left="4847" w:right="5340" w:hanging="360"/>
      </w:pPr>
    </w:lvl>
    <w:lvl w:ilvl="7">
      <w:start w:val="1"/>
      <w:numFmt w:val="lowerLetter"/>
      <w:lvlText w:val="%8."/>
      <w:lvlJc w:val="left"/>
      <w:pPr>
        <w:tabs>
          <w:tab w:val="num" w:pos="5567"/>
        </w:tabs>
        <w:ind w:left="5567" w:right="6060" w:hanging="360"/>
      </w:pPr>
    </w:lvl>
    <w:lvl w:ilvl="8">
      <w:start w:val="1"/>
      <w:numFmt w:val="lowerRoman"/>
      <w:lvlText w:val="%9."/>
      <w:lvlJc w:val="right"/>
      <w:pPr>
        <w:tabs>
          <w:tab w:val="num" w:pos="6287"/>
        </w:tabs>
        <w:ind w:left="6287" w:right="6780" w:hanging="180"/>
      </w:pPr>
    </w:lvl>
  </w:abstractNum>
  <w:abstractNum w:abstractNumId="5" w15:restartNumberingAfterBreak="0">
    <w:nsid w:val="10826B3A"/>
    <w:multiLevelType w:val="multilevel"/>
    <w:tmpl w:val="2222DE20"/>
    <w:lvl w:ilvl="0">
      <w:start w:val="1"/>
      <w:numFmt w:val="hebrew1"/>
      <w:lvlText w:val="%1."/>
      <w:lvlJc w:val="left"/>
      <w:pPr>
        <w:tabs>
          <w:tab w:val="num" w:pos="720"/>
        </w:tabs>
        <w:ind w:left="720" w:right="720" w:hanging="360"/>
      </w:pPr>
      <w:rPr>
        <w:rFonts w:hint="cs"/>
      </w:rPr>
    </w:lvl>
    <w:lvl w:ilvl="1">
      <w:start w:val="1"/>
      <w:numFmt w:val="decimal"/>
      <w:lvlText w:val="%2."/>
      <w:lvlJc w:val="left"/>
      <w:pPr>
        <w:tabs>
          <w:tab w:val="num" w:pos="1440"/>
        </w:tabs>
        <w:ind w:left="1440" w:right="1440" w:hanging="360"/>
      </w:pPr>
      <w:rPr>
        <w:rFonts w:hint="default"/>
      </w:rPr>
    </w:lvl>
    <w:lvl w:ilvl="2">
      <w:start w:val="1"/>
      <w:numFmt w:val="lowerRoman"/>
      <w:lvlText w:val="%3."/>
      <w:lvlJc w:val="right"/>
      <w:pPr>
        <w:tabs>
          <w:tab w:val="num" w:pos="2160"/>
        </w:tabs>
        <w:ind w:left="2160" w:right="2160" w:hanging="180"/>
      </w:pPr>
    </w:lvl>
    <w:lvl w:ilvl="3">
      <w:start w:val="1"/>
      <w:numFmt w:val="decimal"/>
      <w:lvlText w:val="%4."/>
      <w:lvlJc w:val="left"/>
      <w:pPr>
        <w:tabs>
          <w:tab w:val="num" w:pos="2880"/>
        </w:tabs>
        <w:ind w:left="2880" w:right="2880" w:hanging="360"/>
      </w:pPr>
    </w:lvl>
    <w:lvl w:ilvl="4">
      <w:start w:val="1"/>
      <w:numFmt w:val="bullet"/>
      <w:lvlText w:val=""/>
      <w:lvlJc w:val="left"/>
      <w:pPr>
        <w:tabs>
          <w:tab w:val="num" w:pos="3600"/>
        </w:tabs>
        <w:ind w:left="3600" w:right="3600" w:hanging="360"/>
      </w:pPr>
      <w:rPr>
        <w:rFonts w:ascii="Symbol" w:eastAsia="Times New Roman" w:hAnsi="Symbol" w:cs="David" w:hint="default"/>
      </w:rPr>
    </w:lvl>
    <w:lvl w:ilvl="5">
      <w:start w:val="1"/>
      <w:numFmt w:val="lowerRoman"/>
      <w:lvlText w:val="%6."/>
      <w:lvlJc w:val="right"/>
      <w:pPr>
        <w:tabs>
          <w:tab w:val="num" w:pos="4320"/>
        </w:tabs>
        <w:ind w:left="4320" w:right="4320" w:hanging="180"/>
      </w:pPr>
    </w:lvl>
    <w:lvl w:ilvl="6">
      <w:start w:val="1"/>
      <w:numFmt w:val="decimal"/>
      <w:lvlText w:val="%7."/>
      <w:lvlJc w:val="left"/>
      <w:pPr>
        <w:tabs>
          <w:tab w:val="num" w:pos="5040"/>
        </w:tabs>
        <w:ind w:left="5040" w:right="5040" w:hanging="360"/>
      </w:pPr>
    </w:lvl>
    <w:lvl w:ilvl="7">
      <w:start w:val="1"/>
      <w:numFmt w:val="lowerLetter"/>
      <w:lvlText w:val="%8."/>
      <w:lvlJc w:val="left"/>
      <w:pPr>
        <w:tabs>
          <w:tab w:val="num" w:pos="5760"/>
        </w:tabs>
        <w:ind w:left="5760" w:right="5760" w:hanging="360"/>
      </w:pPr>
    </w:lvl>
    <w:lvl w:ilvl="8">
      <w:start w:val="1"/>
      <w:numFmt w:val="lowerRoman"/>
      <w:lvlText w:val="%9."/>
      <w:lvlJc w:val="right"/>
      <w:pPr>
        <w:tabs>
          <w:tab w:val="num" w:pos="6480"/>
        </w:tabs>
        <w:ind w:left="6480" w:right="6480" w:hanging="180"/>
      </w:pPr>
    </w:lvl>
  </w:abstractNum>
  <w:abstractNum w:abstractNumId="6" w15:restartNumberingAfterBreak="0">
    <w:nsid w:val="15A21198"/>
    <w:multiLevelType w:val="hybridMultilevel"/>
    <w:tmpl w:val="B45835AC"/>
    <w:lvl w:ilvl="0" w:tplc="2814DEB8">
      <w:start w:val="1"/>
      <w:numFmt w:val="hebrew1"/>
      <w:lvlText w:val="%1."/>
      <w:lvlJc w:val="left"/>
      <w:pPr>
        <w:tabs>
          <w:tab w:val="num" w:pos="720"/>
        </w:tabs>
        <w:ind w:left="720" w:right="720" w:hanging="360"/>
      </w:pPr>
      <w:rPr>
        <w:rFonts w:hint="cs"/>
      </w:rPr>
    </w:lvl>
    <w:lvl w:ilvl="1" w:tplc="040D0019" w:tentative="1">
      <w:start w:val="1"/>
      <w:numFmt w:val="lowerLetter"/>
      <w:lvlText w:val="%2."/>
      <w:lvlJc w:val="left"/>
      <w:pPr>
        <w:tabs>
          <w:tab w:val="num" w:pos="1440"/>
        </w:tabs>
        <w:ind w:left="1440" w:right="1440" w:hanging="360"/>
      </w:pPr>
    </w:lvl>
    <w:lvl w:ilvl="2" w:tplc="040D001B" w:tentative="1">
      <w:start w:val="1"/>
      <w:numFmt w:val="lowerRoman"/>
      <w:lvlText w:val="%3."/>
      <w:lvlJc w:val="right"/>
      <w:pPr>
        <w:tabs>
          <w:tab w:val="num" w:pos="2160"/>
        </w:tabs>
        <w:ind w:left="2160" w:right="2160" w:hanging="180"/>
      </w:pPr>
    </w:lvl>
    <w:lvl w:ilvl="3" w:tplc="040D000F" w:tentative="1">
      <w:start w:val="1"/>
      <w:numFmt w:val="decimal"/>
      <w:lvlText w:val="%4."/>
      <w:lvlJc w:val="left"/>
      <w:pPr>
        <w:tabs>
          <w:tab w:val="num" w:pos="2880"/>
        </w:tabs>
        <w:ind w:left="2880" w:right="2880" w:hanging="360"/>
      </w:pPr>
    </w:lvl>
    <w:lvl w:ilvl="4" w:tplc="040D0019" w:tentative="1">
      <w:start w:val="1"/>
      <w:numFmt w:val="lowerLetter"/>
      <w:lvlText w:val="%5."/>
      <w:lvlJc w:val="left"/>
      <w:pPr>
        <w:tabs>
          <w:tab w:val="num" w:pos="3600"/>
        </w:tabs>
        <w:ind w:left="3600" w:right="3600" w:hanging="360"/>
      </w:pPr>
    </w:lvl>
    <w:lvl w:ilvl="5" w:tplc="040D001B" w:tentative="1">
      <w:start w:val="1"/>
      <w:numFmt w:val="lowerRoman"/>
      <w:lvlText w:val="%6."/>
      <w:lvlJc w:val="right"/>
      <w:pPr>
        <w:tabs>
          <w:tab w:val="num" w:pos="4320"/>
        </w:tabs>
        <w:ind w:left="4320" w:right="4320" w:hanging="180"/>
      </w:pPr>
    </w:lvl>
    <w:lvl w:ilvl="6" w:tplc="040D000F" w:tentative="1">
      <w:start w:val="1"/>
      <w:numFmt w:val="decimal"/>
      <w:lvlText w:val="%7."/>
      <w:lvlJc w:val="left"/>
      <w:pPr>
        <w:tabs>
          <w:tab w:val="num" w:pos="5040"/>
        </w:tabs>
        <w:ind w:left="5040" w:right="5040" w:hanging="360"/>
      </w:pPr>
    </w:lvl>
    <w:lvl w:ilvl="7" w:tplc="040D0019" w:tentative="1">
      <w:start w:val="1"/>
      <w:numFmt w:val="lowerLetter"/>
      <w:lvlText w:val="%8."/>
      <w:lvlJc w:val="left"/>
      <w:pPr>
        <w:tabs>
          <w:tab w:val="num" w:pos="5760"/>
        </w:tabs>
        <w:ind w:left="5760" w:right="5760" w:hanging="360"/>
      </w:pPr>
    </w:lvl>
    <w:lvl w:ilvl="8" w:tplc="040D001B" w:tentative="1">
      <w:start w:val="1"/>
      <w:numFmt w:val="lowerRoman"/>
      <w:lvlText w:val="%9."/>
      <w:lvlJc w:val="right"/>
      <w:pPr>
        <w:tabs>
          <w:tab w:val="num" w:pos="6480"/>
        </w:tabs>
        <w:ind w:left="6480" w:right="6480" w:hanging="180"/>
      </w:pPr>
    </w:lvl>
  </w:abstractNum>
  <w:abstractNum w:abstractNumId="7" w15:restartNumberingAfterBreak="0">
    <w:nsid w:val="18D6104C"/>
    <w:multiLevelType w:val="hybridMultilevel"/>
    <w:tmpl w:val="30F8F60C"/>
    <w:lvl w:ilvl="0" w:tplc="E22EBE0A">
      <w:start w:val="2"/>
      <w:numFmt w:val="bullet"/>
      <w:lvlText w:val=""/>
      <w:lvlJc w:val="left"/>
      <w:pPr>
        <w:tabs>
          <w:tab w:val="num" w:pos="1290"/>
        </w:tabs>
        <w:ind w:left="1290" w:right="1290" w:hanging="360"/>
      </w:pPr>
      <w:rPr>
        <w:rFonts w:ascii="Symbol" w:eastAsia="Times New Roman" w:hAnsi="Symbol" w:cs="David" w:hint="default"/>
      </w:rPr>
    </w:lvl>
    <w:lvl w:ilvl="1" w:tplc="040D0003" w:tentative="1">
      <w:start w:val="1"/>
      <w:numFmt w:val="bullet"/>
      <w:lvlText w:val="o"/>
      <w:lvlJc w:val="left"/>
      <w:pPr>
        <w:tabs>
          <w:tab w:val="num" w:pos="2010"/>
        </w:tabs>
        <w:ind w:left="2010" w:right="2010" w:hanging="360"/>
      </w:pPr>
      <w:rPr>
        <w:rFonts w:ascii="Courier New" w:hAnsi="Courier New" w:hint="default"/>
      </w:rPr>
    </w:lvl>
    <w:lvl w:ilvl="2" w:tplc="040D0005" w:tentative="1">
      <w:start w:val="1"/>
      <w:numFmt w:val="bullet"/>
      <w:lvlText w:val=""/>
      <w:lvlJc w:val="left"/>
      <w:pPr>
        <w:tabs>
          <w:tab w:val="num" w:pos="2730"/>
        </w:tabs>
        <w:ind w:left="2730" w:right="2730" w:hanging="360"/>
      </w:pPr>
      <w:rPr>
        <w:rFonts w:ascii="Wingdings" w:hAnsi="Wingdings" w:hint="default"/>
      </w:rPr>
    </w:lvl>
    <w:lvl w:ilvl="3" w:tplc="040D0001" w:tentative="1">
      <w:start w:val="1"/>
      <w:numFmt w:val="bullet"/>
      <w:lvlText w:val=""/>
      <w:lvlJc w:val="left"/>
      <w:pPr>
        <w:tabs>
          <w:tab w:val="num" w:pos="3450"/>
        </w:tabs>
        <w:ind w:left="3450" w:right="3450" w:hanging="360"/>
      </w:pPr>
      <w:rPr>
        <w:rFonts w:ascii="Symbol" w:hAnsi="Symbol" w:hint="default"/>
      </w:rPr>
    </w:lvl>
    <w:lvl w:ilvl="4" w:tplc="040D0003" w:tentative="1">
      <w:start w:val="1"/>
      <w:numFmt w:val="bullet"/>
      <w:lvlText w:val="o"/>
      <w:lvlJc w:val="left"/>
      <w:pPr>
        <w:tabs>
          <w:tab w:val="num" w:pos="4170"/>
        </w:tabs>
        <w:ind w:left="4170" w:right="4170" w:hanging="360"/>
      </w:pPr>
      <w:rPr>
        <w:rFonts w:ascii="Courier New" w:hAnsi="Courier New" w:hint="default"/>
      </w:rPr>
    </w:lvl>
    <w:lvl w:ilvl="5" w:tplc="040D0005" w:tentative="1">
      <w:start w:val="1"/>
      <w:numFmt w:val="bullet"/>
      <w:lvlText w:val=""/>
      <w:lvlJc w:val="left"/>
      <w:pPr>
        <w:tabs>
          <w:tab w:val="num" w:pos="4890"/>
        </w:tabs>
        <w:ind w:left="4890" w:right="4890" w:hanging="360"/>
      </w:pPr>
      <w:rPr>
        <w:rFonts w:ascii="Wingdings" w:hAnsi="Wingdings" w:hint="default"/>
      </w:rPr>
    </w:lvl>
    <w:lvl w:ilvl="6" w:tplc="040D0001" w:tentative="1">
      <w:start w:val="1"/>
      <w:numFmt w:val="bullet"/>
      <w:lvlText w:val=""/>
      <w:lvlJc w:val="left"/>
      <w:pPr>
        <w:tabs>
          <w:tab w:val="num" w:pos="5610"/>
        </w:tabs>
        <w:ind w:left="5610" w:right="5610" w:hanging="360"/>
      </w:pPr>
      <w:rPr>
        <w:rFonts w:ascii="Symbol" w:hAnsi="Symbol" w:hint="default"/>
      </w:rPr>
    </w:lvl>
    <w:lvl w:ilvl="7" w:tplc="040D0003" w:tentative="1">
      <w:start w:val="1"/>
      <w:numFmt w:val="bullet"/>
      <w:lvlText w:val="o"/>
      <w:lvlJc w:val="left"/>
      <w:pPr>
        <w:tabs>
          <w:tab w:val="num" w:pos="6330"/>
        </w:tabs>
        <w:ind w:left="6330" w:right="6330" w:hanging="360"/>
      </w:pPr>
      <w:rPr>
        <w:rFonts w:ascii="Courier New" w:hAnsi="Courier New" w:hint="default"/>
      </w:rPr>
    </w:lvl>
    <w:lvl w:ilvl="8" w:tplc="040D0005" w:tentative="1">
      <w:start w:val="1"/>
      <w:numFmt w:val="bullet"/>
      <w:lvlText w:val=""/>
      <w:lvlJc w:val="left"/>
      <w:pPr>
        <w:tabs>
          <w:tab w:val="num" w:pos="7050"/>
        </w:tabs>
        <w:ind w:left="7050" w:right="7050" w:hanging="360"/>
      </w:pPr>
      <w:rPr>
        <w:rFonts w:ascii="Wingdings" w:hAnsi="Wingdings" w:hint="default"/>
      </w:rPr>
    </w:lvl>
  </w:abstractNum>
  <w:abstractNum w:abstractNumId="8" w15:restartNumberingAfterBreak="0">
    <w:nsid w:val="1A044819"/>
    <w:multiLevelType w:val="hybridMultilevel"/>
    <w:tmpl w:val="DC62485E"/>
    <w:lvl w:ilvl="0" w:tplc="9DD801E4">
      <w:numFmt w:val="bullet"/>
      <w:lvlText w:val=""/>
      <w:lvlJc w:val="left"/>
      <w:pPr>
        <w:tabs>
          <w:tab w:val="num" w:pos="720"/>
        </w:tabs>
        <w:ind w:left="720" w:hanging="360"/>
      </w:pPr>
      <w:rPr>
        <w:rFonts w:ascii="Symbol" w:eastAsia="Times New Roman" w:hAnsi="Symbol" w:cs="David"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1A7A83"/>
    <w:multiLevelType w:val="hybridMultilevel"/>
    <w:tmpl w:val="F1480FDE"/>
    <w:lvl w:ilvl="0" w:tplc="2954C19C">
      <w:start w:val="1"/>
      <w:numFmt w:val="decimal"/>
      <w:pStyle w:val="Heading3"/>
      <w:lvlText w:val="%1."/>
      <w:lvlJc w:val="left"/>
      <w:pPr>
        <w:tabs>
          <w:tab w:val="num" w:pos="1466"/>
        </w:tabs>
        <w:ind w:left="1466" w:right="1466" w:hanging="360"/>
      </w:pPr>
      <w:rPr>
        <w:rFonts w:hint="cs"/>
      </w:rPr>
    </w:lvl>
    <w:lvl w:ilvl="1" w:tplc="040D0019" w:tentative="1">
      <w:start w:val="1"/>
      <w:numFmt w:val="lowerLetter"/>
      <w:lvlText w:val="%2."/>
      <w:lvlJc w:val="left"/>
      <w:pPr>
        <w:tabs>
          <w:tab w:val="num" w:pos="2186"/>
        </w:tabs>
        <w:ind w:left="2186" w:right="2186" w:hanging="360"/>
      </w:pPr>
    </w:lvl>
    <w:lvl w:ilvl="2" w:tplc="040D001B" w:tentative="1">
      <w:start w:val="1"/>
      <w:numFmt w:val="lowerRoman"/>
      <w:lvlText w:val="%3."/>
      <w:lvlJc w:val="right"/>
      <w:pPr>
        <w:tabs>
          <w:tab w:val="num" w:pos="2906"/>
        </w:tabs>
        <w:ind w:left="2906" w:right="2906" w:hanging="180"/>
      </w:pPr>
    </w:lvl>
    <w:lvl w:ilvl="3" w:tplc="040D000F" w:tentative="1">
      <w:start w:val="1"/>
      <w:numFmt w:val="decimal"/>
      <w:lvlText w:val="%4."/>
      <w:lvlJc w:val="left"/>
      <w:pPr>
        <w:tabs>
          <w:tab w:val="num" w:pos="3626"/>
        </w:tabs>
        <w:ind w:left="3626" w:right="3626" w:hanging="360"/>
      </w:pPr>
    </w:lvl>
    <w:lvl w:ilvl="4" w:tplc="040D0019" w:tentative="1">
      <w:start w:val="1"/>
      <w:numFmt w:val="lowerLetter"/>
      <w:lvlText w:val="%5."/>
      <w:lvlJc w:val="left"/>
      <w:pPr>
        <w:tabs>
          <w:tab w:val="num" w:pos="4346"/>
        </w:tabs>
        <w:ind w:left="4346" w:right="4346" w:hanging="360"/>
      </w:pPr>
    </w:lvl>
    <w:lvl w:ilvl="5" w:tplc="040D001B" w:tentative="1">
      <w:start w:val="1"/>
      <w:numFmt w:val="lowerRoman"/>
      <w:lvlText w:val="%6."/>
      <w:lvlJc w:val="right"/>
      <w:pPr>
        <w:tabs>
          <w:tab w:val="num" w:pos="5066"/>
        </w:tabs>
        <w:ind w:left="5066" w:right="5066" w:hanging="180"/>
      </w:pPr>
    </w:lvl>
    <w:lvl w:ilvl="6" w:tplc="040D000F" w:tentative="1">
      <w:start w:val="1"/>
      <w:numFmt w:val="decimal"/>
      <w:lvlText w:val="%7."/>
      <w:lvlJc w:val="left"/>
      <w:pPr>
        <w:tabs>
          <w:tab w:val="num" w:pos="5786"/>
        </w:tabs>
        <w:ind w:left="5786" w:right="5786" w:hanging="360"/>
      </w:pPr>
    </w:lvl>
    <w:lvl w:ilvl="7" w:tplc="040D0019" w:tentative="1">
      <w:start w:val="1"/>
      <w:numFmt w:val="lowerLetter"/>
      <w:lvlText w:val="%8."/>
      <w:lvlJc w:val="left"/>
      <w:pPr>
        <w:tabs>
          <w:tab w:val="num" w:pos="6506"/>
        </w:tabs>
        <w:ind w:left="6506" w:right="6506" w:hanging="360"/>
      </w:pPr>
    </w:lvl>
    <w:lvl w:ilvl="8" w:tplc="040D001B" w:tentative="1">
      <w:start w:val="1"/>
      <w:numFmt w:val="lowerRoman"/>
      <w:lvlText w:val="%9."/>
      <w:lvlJc w:val="right"/>
      <w:pPr>
        <w:tabs>
          <w:tab w:val="num" w:pos="7226"/>
        </w:tabs>
        <w:ind w:left="7226" w:right="7226" w:hanging="180"/>
      </w:pPr>
    </w:lvl>
  </w:abstractNum>
  <w:abstractNum w:abstractNumId="10" w15:restartNumberingAfterBreak="0">
    <w:nsid w:val="1CDD1219"/>
    <w:multiLevelType w:val="multilevel"/>
    <w:tmpl w:val="D1D42A5E"/>
    <w:lvl w:ilvl="0">
      <w:start w:val="1"/>
      <w:numFmt w:val="decimal"/>
      <w:lvlText w:val="%1."/>
      <w:lvlJc w:val="left"/>
      <w:pPr>
        <w:tabs>
          <w:tab w:val="num" w:pos="1170"/>
        </w:tabs>
        <w:ind w:left="1170" w:right="1170" w:hanging="360"/>
      </w:pPr>
      <w:rPr>
        <w:rFonts w:hint="cs"/>
      </w:rPr>
    </w:lvl>
    <w:lvl w:ilvl="1">
      <w:start w:val="1"/>
      <w:numFmt w:val="hebrew1"/>
      <w:lvlText w:val="%2."/>
      <w:lvlJc w:val="left"/>
      <w:pPr>
        <w:tabs>
          <w:tab w:val="num" w:pos="1890"/>
        </w:tabs>
        <w:ind w:left="1890" w:right="1890" w:hanging="360"/>
      </w:pPr>
      <w:rPr>
        <w:rFonts w:hint="cs"/>
      </w:rPr>
    </w:lvl>
    <w:lvl w:ilvl="2">
      <w:start w:val="1"/>
      <w:numFmt w:val="lowerRoman"/>
      <w:lvlText w:val="%3."/>
      <w:lvlJc w:val="right"/>
      <w:pPr>
        <w:tabs>
          <w:tab w:val="num" w:pos="2610"/>
        </w:tabs>
        <w:ind w:left="2610" w:right="2610" w:hanging="180"/>
      </w:pPr>
    </w:lvl>
    <w:lvl w:ilvl="3">
      <w:start w:val="1"/>
      <w:numFmt w:val="decimal"/>
      <w:lvlText w:val="%4."/>
      <w:lvlJc w:val="left"/>
      <w:pPr>
        <w:tabs>
          <w:tab w:val="num" w:pos="3330"/>
        </w:tabs>
        <w:ind w:left="3330" w:right="3330" w:hanging="360"/>
      </w:pPr>
    </w:lvl>
    <w:lvl w:ilvl="4">
      <w:start w:val="1"/>
      <w:numFmt w:val="lowerLetter"/>
      <w:lvlText w:val="%5."/>
      <w:lvlJc w:val="left"/>
      <w:pPr>
        <w:tabs>
          <w:tab w:val="num" w:pos="4050"/>
        </w:tabs>
        <w:ind w:left="4050" w:right="4050" w:hanging="360"/>
      </w:pPr>
    </w:lvl>
    <w:lvl w:ilvl="5">
      <w:start w:val="1"/>
      <w:numFmt w:val="lowerRoman"/>
      <w:lvlText w:val="%6."/>
      <w:lvlJc w:val="right"/>
      <w:pPr>
        <w:tabs>
          <w:tab w:val="num" w:pos="4770"/>
        </w:tabs>
        <w:ind w:left="4770" w:right="4770" w:hanging="180"/>
      </w:pPr>
    </w:lvl>
    <w:lvl w:ilvl="6">
      <w:start w:val="1"/>
      <w:numFmt w:val="decimal"/>
      <w:lvlText w:val="%7."/>
      <w:lvlJc w:val="left"/>
      <w:pPr>
        <w:tabs>
          <w:tab w:val="num" w:pos="5490"/>
        </w:tabs>
        <w:ind w:left="5490" w:right="5490" w:hanging="360"/>
      </w:pPr>
    </w:lvl>
    <w:lvl w:ilvl="7">
      <w:start w:val="1"/>
      <w:numFmt w:val="lowerLetter"/>
      <w:lvlText w:val="%8."/>
      <w:lvlJc w:val="left"/>
      <w:pPr>
        <w:tabs>
          <w:tab w:val="num" w:pos="6210"/>
        </w:tabs>
        <w:ind w:left="6210" w:right="6210" w:hanging="360"/>
      </w:pPr>
    </w:lvl>
    <w:lvl w:ilvl="8">
      <w:start w:val="1"/>
      <w:numFmt w:val="lowerRoman"/>
      <w:lvlText w:val="%9."/>
      <w:lvlJc w:val="right"/>
      <w:pPr>
        <w:tabs>
          <w:tab w:val="num" w:pos="6930"/>
        </w:tabs>
        <w:ind w:left="6930" w:right="6930" w:hanging="180"/>
      </w:pPr>
    </w:lvl>
  </w:abstractNum>
  <w:abstractNum w:abstractNumId="11" w15:restartNumberingAfterBreak="0">
    <w:nsid w:val="21DF2AED"/>
    <w:multiLevelType w:val="hybridMultilevel"/>
    <w:tmpl w:val="474215F6"/>
    <w:lvl w:ilvl="0" w:tplc="6746832A">
      <w:start w:val="1"/>
      <w:numFmt w:val="decimal"/>
      <w:lvlText w:val="%1)"/>
      <w:lvlJc w:val="left"/>
      <w:pPr>
        <w:tabs>
          <w:tab w:val="num" w:pos="720"/>
        </w:tabs>
        <w:ind w:left="720" w:right="720" w:hanging="360"/>
      </w:pPr>
      <w:rPr>
        <w:rFonts w:hint="cs"/>
      </w:rPr>
    </w:lvl>
    <w:lvl w:ilvl="1" w:tplc="040D0019" w:tentative="1">
      <w:start w:val="1"/>
      <w:numFmt w:val="lowerLetter"/>
      <w:lvlText w:val="%2."/>
      <w:lvlJc w:val="left"/>
      <w:pPr>
        <w:tabs>
          <w:tab w:val="num" w:pos="1440"/>
        </w:tabs>
        <w:ind w:left="1440" w:right="1440" w:hanging="360"/>
      </w:pPr>
    </w:lvl>
    <w:lvl w:ilvl="2" w:tplc="040D001B" w:tentative="1">
      <w:start w:val="1"/>
      <w:numFmt w:val="lowerRoman"/>
      <w:lvlText w:val="%3."/>
      <w:lvlJc w:val="right"/>
      <w:pPr>
        <w:tabs>
          <w:tab w:val="num" w:pos="2160"/>
        </w:tabs>
        <w:ind w:left="2160" w:right="2160" w:hanging="180"/>
      </w:pPr>
    </w:lvl>
    <w:lvl w:ilvl="3" w:tplc="040D000F" w:tentative="1">
      <w:start w:val="1"/>
      <w:numFmt w:val="decimal"/>
      <w:lvlText w:val="%4."/>
      <w:lvlJc w:val="left"/>
      <w:pPr>
        <w:tabs>
          <w:tab w:val="num" w:pos="2880"/>
        </w:tabs>
        <w:ind w:left="2880" w:right="2880" w:hanging="360"/>
      </w:pPr>
    </w:lvl>
    <w:lvl w:ilvl="4" w:tplc="040D0019" w:tentative="1">
      <w:start w:val="1"/>
      <w:numFmt w:val="lowerLetter"/>
      <w:lvlText w:val="%5."/>
      <w:lvlJc w:val="left"/>
      <w:pPr>
        <w:tabs>
          <w:tab w:val="num" w:pos="3600"/>
        </w:tabs>
        <w:ind w:left="3600" w:right="3600" w:hanging="360"/>
      </w:pPr>
    </w:lvl>
    <w:lvl w:ilvl="5" w:tplc="040D001B" w:tentative="1">
      <w:start w:val="1"/>
      <w:numFmt w:val="lowerRoman"/>
      <w:lvlText w:val="%6."/>
      <w:lvlJc w:val="right"/>
      <w:pPr>
        <w:tabs>
          <w:tab w:val="num" w:pos="4320"/>
        </w:tabs>
        <w:ind w:left="4320" w:right="4320" w:hanging="180"/>
      </w:pPr>
    </w:lvl>
    <w:lvl w:ilvl="6" w:tplc="040D000F" w:tentative="1">
      <w:start w:val="1"/>
      <w:numFmt w:val="decimal"/>
      <w:lvlText w:val="%7."/>
      <w:lvlJc w:val="left"/>
      <w:pPr>
        <w:tabs>
          <w:tab w:val="num" w:pos="5040"/>
        </w:tabs>
        <w:ind w:left="5040" w:right="5040" w:hanging="360"/>
      </w:pPr>
    </w:lvl>
    <w:lvl w:ilvl="7" w:tplc="040D0019" w:tentative="1">
      <w:start w:val="1"/>
      <w:numFmt w:val="lowerLetter"/>
      <w:lvlText w:val="%8."/>
      <w:lvlJc w:val="left"/>
      <w:pPr>
        <w:tabs>
          <w:tab w:val="num" w:pos="5760"/>
        </w:tabs>
        <w:ind w:left="5760" w:right="5760" w:hanging="360"/>
      </w:pPr>
    </w:lvl>
    <w:lvl w:ilvl="8" w:tplc="040D001B" w:tentative="1">
      <w:start w:val="1"/>
      <w:numFmt w:val="lowerRoman"/>
      <w:lvlText w:val="%9."/>
      <w:lvlJc w:val="right"/>
      <w:pPr>
        <w:tabs>
          <w:tab w:val="num" w:pos="6480"/>
        </w:tabs>
        <w:ind w:left="6480" w:right="6480" w:hanging="180"/>
      </w:pPr>
    </w:lvl>
  </w:abstractNum>
  <w:abstractNum w:abstractNumId="12" w15:restartNumberingAfterBreak="0">
    <w:nsid w:val="32E70C06"/>
    <w:multiLevelType w:val="multilevel"/>
    <w:tmpl w:val="4662837C"/>
    <w:lvl w:ilvl="0">
      <w:start w:val="1"/>
      <w:numFmt w:val="hebrew1"/>
      <w:lvlText w:val="%1."/>
      <w:lvlJc w:val="left"/>
      <w:pPr>
        <w:tabs>
          <w:tab w:val="num" w:pos="720"/>
        </w:tabs>
        <w:ind w:left="720" w:right="720" w:hanging="360"/>
      </w:pPr>
      <w:rPr>
        <w:rFonts w:hint="cs"/>
      </w:rPr>
    </w:lvl>
    <w:lvl w:ilvl="1">
      <w:start w:val="1"/>
      <w:numFmt w:val="decimal"/>
      <w:lvlText w:val="%2."/>
      <w:lvlJc w:val="left"/>
      <w:pPr>
        <w:tabs>
          <w:tab w:val="num" w:pos="1440"/>
        </w:tabs>
        <w:ind w:left="1440" w:right="1440" w:hanging="360"/>
      </w:pPr>
      <w:rPr>
        <w:rFonts w:hint="default"/>
      </w:rPr>
    </w:lvl>
    <w:lvl w:ilvl="2">
      <w:start w:val="1"/>
      <w:numFmt w:val="lowerRoman"/>
      <w:lvlText w:val="%3."/>
      <w:lvlJc w:val="right"/>
      <w:pPr>
        <w:tabs>
          <w:tab w:val="num" w:pos="2160"/>
        </w:tabs>
        <w:ind w:left="2160" w:right="2160" w:hanging="180"/>
      </w:pPr>
    </w:lvl>
    <w:lvl w:ilvl="3">
      <w:start w:val="1"/>
      <w:numFmt w:val="decimal"/>
      <w:lvlText w:val="%4."/>
      <w:lvlJc w:val="left"/>
      <w:pPr>
        <w:tabs>
          <w:tab w:val="num" w:pos="2880"/>
        </w:tabs>
        <w:ind w:left="2880" w:right="2880" w:hanging="360"/>
      </w:pPr>
    </w:lvl>
    <w:lvl w:ilvl="4">
      <w:start w:val="1"/>
      <w:numFmt w:val="bullet"/>
      <w:lvlText w:val=""/>
      <w:lvlJc w:val="left"/>
      <w:pPr>
        <w:tabs>
          <w:tab w:val="num" w:pos="3600"/>
        </w:tabs>
        <w:ind w:left="3600" w:right="3600" w:hanging="360"/>
      </w:pPr>
      <w:rPr>
        <w:rFonts w:ascii="Symbol" w:eastAsia="Times New Roman" w:hAnsi="Symbol" w:cs="David" w:hint="default"/>
      </w:rPr>
    </w:lvl>
    <w:lvl w:ilvl="5">
      <w:start w:val="1"/>
      <w:numFmt w:val="lowerRoman"/>
      <w:lvlText w:val="%6."/>
      <w:lvlJc w:val="right"/>
      <w:pPr>
        <w:tabs>
          <w:tab w:val="num" w:pos="4320"/>
        </w:tabs>
        <w:ind w:left="4320" w:right="4320" w:hanging="180"/>
      </w:pPr>
    </w:lvl>
    <w:lvl w:ilvl="6">
      <w:start w:val="1"/>
      <w:numFmt w:val="decimal"/>
      <w:lvlText w:val="%7."/>
      <w:lvlJc w:val="left"/>
      <w:pPr>
        <w:tabs>
          <w:tab w:val="num" w:pos="5040"/>
        </w:tabs>
        <w:ind w:left="5040" w:right="5040" w:hanging="360"/>
      </w:pPr>
    </w:lvl>
    <w:lvl w:ilvl="7">
      <w:start w:val="1"/>
      <w:numFmt w:val="lowerLetter"/>
      <w:lvlText w:val="%8."/>
      <w:lvlJc w:val="left"/>
      <w:pPr>
        <w:tabs>
          <w:tab w:val="num" w:pos="5760"/>
        </w:tabs>
        <w:ind w:left="5760" w:right="5760" w:hanging="360"/>
      </w:pPr>
    </w:lvl>
    <w:lvl w:ilvl="8">
      <w:start w:val="1"/>
      <w:numFmt w:val="lowerRoman"/>
      <w:lvlText w:val="%9."/>
      <w:lvlJc w:val="right"/>
      <w:pPr>
        <w:tabs>
          <w:tab w:val="num" w:pos="6480"/>
        </w:tabs>
        <w:ind w:left="6480" w:right="6480" w:hanging="180"/>
      </w:pPr>
    </w:lvl>
  </w:abstractNum>
  <w:abstractNum w:abstractNumId="13" w15:restartNumberingAfterBreak="0">
    <w:nsid w:val="34205B79"/>
    <w:multiLevelType w:val="multilevel"/>
    <w:tmpl w:val="853265B8"/>
    <w:lvl w:ilvl="0">
      <w:start w:val="1"/>
      <w:numFmt w:val="hebrew1"/>
      <w:lvlText w:val="%1."/>
      <w:lvlJc w:val="left"/>
      <w:pPr>
        <w:tabs>
          <w:tab w:val="num" w:pos="392"/>
        </w:tabs>
        <w:ind w:left="392" w:right="720" w:hanging="360"/>
      </w:pPr>
      <w:rPr>
        <w:rFonts w:hint="cs"/>
      </w:rPr>
    </w:lvl>
    <w:lvl w:ilvl="1">
      <w:start w:val="1"/>
      <w:numFmt w:val="lowerLetter"/>
      <w:lvlText w:val="%2."/>
      <w:lvlJc w:val="left"/>
      <w:pPr>
        <w:tabs>
          <w:tab w:val="num" w:pos="1247"/>
        </w:tabs>
        <w:ind w:left="1247" w:right="1740" w:hanging="360"/>
      </w:pPr>
    </w:lvl>
    <w:lvl w:ilvl="2">
      <w:start w:val="1"/>
      <w:numFmt w:val="lowerRoman"/>
      <w:lvlText w:val="%3."/>
      <w:lvlJc w:val="right"/>
      <w:pPr>
        <w:tabs>
          <w:tab w:val="num" w:pos="1967"/>
        </w:tabs>
        <w:ind w:left="1967" w:right="2460" w:hanging="180"/>
      </w:pPr>
    </w:lvl>
    <w:lvl w:ilvl="3">
      <w:start w:val="1"/>
      <w:numFmt w:val="decimal"/>
      <w:lvlText w:val="%4."/>
      <w:lvlJc w:val="left"/>
      <w:pPr>
        <w:tabs>
          <w:tab w:val="num" w:pos="2687"/>
        </w:tabs>
        <w:ind w:left="2687" w:right="3180" w:hanging="360"/>
      </w:pPr>
    </w:lvl>
    <w:lvl w:ilvl="4">
      <w:start w:val="1"/>
      <w:numFmt w:val="lowerLetter"/>
      <w:lvlText w:val="%5."/>
      <w:lvlJc w:val="left"/>
      <w:pPr>
        <w:tabs>
          <w:tab w:val="num" w:pos="3407"/>
        </w:tabs>
        <w:ind w:left="3407" w:right="3900" w:hanging="360"/>
      </w:pPr>
    </w:lvl>
    <w:lvl w:ilvl="5">
      <w:start w:val="1"/>
      <w:numFmt w:val="lowerRoman"/>
      <w:lvlText w:val="%6."/>
      <w:lvlJc w:val="right"/>
      <w:pPr>
        <w:tabs>
          <w:tab w:val="num" w:pos="4127"/>
        </w:tabs>
        <w:ind w:left="4127" w:right="4620" w:hanging="180"/>
      </w:pPr>
    </w:lvl>
    <w:lvl w:ilvl="6">
      <w:start w:val="1"/>
      <w:numFmt w:val="decimal"/>
      <w:lvlText w:val="%7."/>
      <w:lvlJc w:val="left"/>
      <w:pPr>
        <w:tabs>
          <w:tab w:val="num" w:pos="4847"/>
        </w:tabs>
        <w:ind w:left="4847" w:right="5340" w:hanging="360"/>
      </w:pPr>
    </w:lvl>
    <w:lvl w:ilvl="7">
      <w:start w:val="1"/>
      <w:numFmt w:val="lowerLetter"/>
      <w:lvlText w:val="%8."/>
      <w:lvlJc w:val="left"/>
      <w:pPr>
        <w:tabs>
          <w:tab w:val="num" w:pos="5567"/>
        </w:tabs>
        <w:ind w:left="5567" w:right="6060" w:hanging="360"/>
      </w:pPr>
    </w:lvl>
    <w:lvl w:ilvl="8">
      <w:start w:val="1"/>
      <w:numFmt w:val="lowerRoman"/>
      <w:lvlText w:val="%9."/>
      <w:lvlJc w:val="right"/>
      <w:pPr>
        <w:tabs>
          <w:tab w:val="num" w:pos="6287"/>
        </w:tabs>
        <w:ind w:left="6287" w:right="6780" w:hanging="180"/>
      </w:pPr>
    </w:lvl>
  </w:abstractNum>
  <w:abstractNum w:abstractNumId="14" w15:restartNumberingAfterBreak="0">
    <w:nsid w:val="3BA73787"/>
    <w:multiLevelType w:val="multilevel"/>
    <w:tmpl w:val="2222DE20"/>
    <w:lvl w:ilvl="0">
      <w:start w:val="1"/>
      <w:numFmt w:val="hebrew1"/>
      <w:lvlText w:val="%1."/>
      <w:lvlJc w:val="left"/>
      <w:pPr>
        <w:tabs>
          <w:tab w:val="num" w:pos="720"/>
        </w:tabs>
        <w:ind w:left="720" w:right="720" w:hanging="360"/>
      </w:pPr>
      <w:rPr>
        <w:rFonts w:hint="cs"/>
      </w:rPr>
    </w:lvl>
    <w:lvl w:ilvl="1">
      <w:start w:val="1"/>
      <w:numFmt w:val="decimal"/>
      <w:lvlText w:val="%2."/>
      <w:lvlJc w:val="left"/>
      <w:pPr>
        <w:tabs>
          <w:tab w:val="num" w:pos="1440"/>
        </w:tabs>
        <w:ind w:left="1440" w:right="1440" w:hanging="360"/>
      </w:pPr>
      <w:rPr>
        <w:rFonts w:hint="default"/>
      </w:rPr>
    </w:lvl>
    <w:lvl w:ilvl="2">
      <w:start w:val="1"/>
      <w:numFmt w:val="lowerRoman"/>
      <w:lvlText w:val="%3."/>
      <w:lvlJc w:val="right"/>
      <w:pPr>
        <w:tabs>
          <w:tab w:val="num" w:pos="2160"/>
        </w:tabs>
        <w:ind w:left="2160" w:right="2160" w:hanging="180"/>
      </w:pPr>
    </w:lvl>
    <w:lvl w:ilvl="3">
      <w:start w:val="1"/>
      <w:numFmt w:val="decimal"/>
      <w:lvlText w:val="%4."/>
      <w:lvlJc w:val="left"/>
      <w:pPr>
        <w:tabs>
          <w:tab w:val="num" w:pos="2880"/>
        </w:tabs>
        <w:ind w:left="2880" w:right="2880" w:hanging="360"/>
      </w:pPr>
    </w:lvl>
    <w:lvl w:ilvl="4">
      <w:start w:val="1"/>
      <w:numFmt w:val="bullet"/>
      <w:lvlText w:val=""/>
      <w:lvlJc w:val="left"/>
      <w:pPr>
        <w:tabs>
          <w:tab w:val="num" w:pos="3600"/>
        </w:tabs>
        <w:ind w:left="3600" w:right="3600" w:hanging="360"/>
      </w:pPr>
      <w:rPr>
        <w:rFonts w:ascii="Symbol" w:eastAsia="Times New Roman" w:hAnsi="Symbol" w:cs="David" w:hint="default"/>
      </w:rPr>
    </w:lvl>
    <w:lvl w:ilvl="5">
      <w:start w:val="1"/>
      <w:numFmt w:val="lowerRoman"/>
      <w:lvlText w:val="%6."/>
      <w:lvlJc w:val="right"/>
      <w:pPr>
        <w:tabs>
          <w:tab w:val="num" w:pos="4320"/>
        </w:tabs>
        <w:ind w:left="4320" w:right="4320" w:hanging="180"/>
      </w:pPr>
    </w:lvl>
    <w:lvl w:ilvl="6">
      <w:start w:val="1"/>
      <w:numFmt w:val="decimal"/>
      <w:lvlText w:val="%7."/>
      <w:lvlJc w:val="left"/>
      <w:pPr>
        <w:tabs>
          <w:tab w:val="num" w:pos="5040"/>
        </w:tabs>
        <w:ind w:left="5040" w:right="5040" w:hanging="360"/>
      </w:pPr>
    </w:lvl>
    <w:lvl w:ilvl="7">
      <w:start w:val="1"/>
      <w:numFmt w:val="lowerLetter"/>
      <w:lvlText w:val="%8."/>
      <w:lvlJc w:val="left"/>
      <w:pPr>
        <w:tabs>
          <w:tab w:val="num" w:pos="5760"/>
        </w:tabs>
        <w:ind w:left="5760" w:right="5760" w:hanging="360"/>
      </w:pPr>
    </w:lvl>
    <w:lvl w:ilvl="8">
      <w:start w:val="1"/>
      <w:numFmt w:val="lowerRoman"/>
      <w:lvlText w:val="%9."/>
      <w:lvlJc w:val="right"/>
      <w:pPr>
        <w:tabs>
          <w:tab w:val="num" w:pos="6480"/>
        </w:tabs>
        <w:ind w:left="6480" w:right="6480" w:hanging="180"/>
      </w:pPr>
    </w:lvl>
  </w:abstractNum>
  <w:abstractNum w:abstractNumId="15" w15:restartNumberingAfterBreak="0">
    <w:nsid w:val="437776D4"/>
    <w:multiLevelType w:val="hybridMultilevel"/>
    <w:tmpl w:val="D2B4C082"/>
    <w:lvl w:ilvl="0" w:tplc="3304671A">
      <w:start w:val="1"/>
      <w:numFmt w:val="hebrew1"/>
      <w:lvlText w:val="%1."/>
      <w:lvlJc w:val="left"/>
      <w:pPr>
        <w:tabs>
          <w:tab w:val="num" w:pos="720"/>
        </w:tabs>
        <w:ind w:left="720" w:hanging="360"/>
      </w:pPr>
      <w:rPr>
        <w:rFonts w:cs="Times New Roman" w:hint="default"/>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BB27CB"/>
    <w:multiLevelType w:val="hybridMultilevel"/>
    <w:tmpl w:val="AB4AA07E"/>
    <w:lvl w:ilvl="0" w:tplc="606A3C32">
      <w:start w:val="1"/>
      <w:numFmt w:val="decimal"/>
      <w:lvlText w:val="%1."/>
      <w:lvlJc w:val="left"/>
      <w:pPr>
        <w:tabs>
          <w:tab w:val="num" w:pos="1800"/>
        </w:tabs>
        <w:ind w:left="1800" w:right="1800" w:hanging="360"/>
      </w:pPr>
      <w:rPr>
        <w:rFonts w:hint="cs"/>
      </w:rPr>
    </w:lvl>
    <w:lvl w:ilvl="1" w:tplc="040D0019" w:tentative="1">
      <w:start w:val="1"/>
      <w:numFmt w:val="lowerLetter"/>
      <w:lvlText w:val="%2."/>
      <w:lvlJc w:val="left"/>
      <w:pPr>
        <w:tabs>
          <w:tab w:val="num" w:pos="2520"/>
        </w:tabs>
        <w:ind w:left="2520" w:right="2520" w:hanging="360"/>
      </w:pPr>
    </w:lvl>
    <w:lvl w:ilvl="2" w:tplc="040D001B" w:tentative="1">
      <w:start w:val="1"/>
      <w:numFmt w:val="lowerRoman"/>
      <w:lvlText w:val="%3."/>
      <w:lvlJc w:val="right"/>
      <w:pPr>
        <w:tabs>
          <w:tab w:val="num" w:pos="3240"/>
        </w:tabs>
        <w:ind w:left="3240" w:right="3240" w:hanging="180"/>
      </w:pPr>
    </w:lvl>
    <w:lvl w:ilvl="3" w:tplc="040D000F" w:tentative="1">
      <w:start w:val="1"/>
      <w:numFmt w:val="decimal"/>
      <w:lvlText w:val="%4."/>
      <w:lvlJc w:val="left"/>
      <w:pPr>
        <w:tabs>
          <w:tab w:val="num" w:pos="3960"/>
        </w:tabs>
        <w:ind w:left="3960" w:right="3960" w:hanging="360"/>
      </w:pPr>
    </w:lvl>
    <w:lvl w:ilvl="4" w:tplc="040D0019" w:tentative="1">
      <w:start w:val="1"/>
      <w:numFmt w:val="lowerLetter"/>
      <w:lvlText w:val="%5."/>
      <w:lvlJc w:val="left"/>
      <w:pPr>
        <w:tabs>
          <w:tab w:val="num" w:pos="4680"/>
        </w:tabs>
        <w:ind w:left="4680" w:right="4680" w:hanging="360"/>
      </w:pPr>
    </w:lvl>
    <w:lvl w:ilvl="5" w:tplc="040D001B" w:tentative="1">
      <w:start w:val="1"/>
      <w:numFmt w:val="lowerRoman"/>
      <w:lvlText w:val="%6."/>
      <w:lvlJc w:val="right"/>
      <w:pPr>
        <w:tabs>
          <w:tab w:val="num" w:pos="5400"/>
        </w:tabs>
        <w:ind w:left="5400" w:right="5400" w:hanging="180"/>
      </w:pPr>
    </w:lvl>
    <w:lvl w:ilvl="6" w:tplc="040D000F" w:tentative="1">
      <w:start w:val="1"/>
      <w:numFmt w:val="decimal"/>
      <w:lvlText w:val="%7."/>
      <w:lvlJc w:val="left"/>
      <w:pPr>
        <w:tabs>
          <w:tab w:val="num" w:pos="6120"/>
        </w:tabs>
        <w:ind w:left="6120" w:right="6120" w:hanging="360"/>
      </w:pPr>
    </w:lvl>
    <w:lvl w:ilvl="7" w:tplc="040D0019" w:tentative="1">
      <w:start w:val="1"/>
      <w:numFmt w:val="lowerLetter"/>
      <w:lvlText w:val="%8."/>
      <w:lvlJc w:val="left"/>
      <w:pPr>
        <w:tabs>
          <w:tab w:val="num" w:pos="6840"/>
        </w:tabs>
        <w:ind w:left="6840" w:right="6840" w:hanging="360"/>
      </w:pPr>
    </w:lvl>
    <w:lvl w:ilvl="8" w:tplc="040D001B" w:tentative="1">
      <w:start w:val="1"/>
      <w:numFmt w:val="lowerRoman"/>
      <w:lvlText w:val="%9."/>
      <w:lvlJc w:val="right"/>
      <w:pPr>
        <w:tabs>
          <w:tab w:val="num" w:pos="7560"/>
        </w:tabs>
        <w:ind w:left="7560" w:right="7560" w:hanging="180"/>
      </w:pPr>
    </w:lvl>
  </w:abstractNum>
  <w:abstractNum w:abstractNumId="17" w15:restartNumberingAfterBreak="0">
    <w:nsid w:val="4A9B5DD7"/>
    <w:multiLevelType w:val="hybridMultilevel"/>
    <w:tmpl w:val="A4F4C220"/>
    <w:lvl w:ilvl="0" w:tplc="B6ECF992">
      <w:start w:val="3"/>
      <w:numFmt w:val="hebrew1"/>
      <w:lvlText w:val="%1."/>
      <w:lvlJc w:val="left"/>
      <w:pPr>
        <w:tabs>
          <w:tab w:val="num" w:pos="360"/>
        </w:tabs>
        <w:ind w:left="360" w:right="720" w:hanging="360"/>
      </w:pPr>
      <w:rPr>
        <w:rFonts w:hint="cs"/>
        <w:b/>
        <w:bCs/>
        <w:sz w:val="32"/>
        <w:szCs w:val="32"/>
      </w:rPr>
    </w:lvl>
    <w:lvl w:ilvl="1" w:tplc="040D0019" w:tentative="1">
      <w:start w:val="1"/>
      <w:numFmt w:val="lowerLetter"/>
      <w:lvlText w:val="%2."/>
      <w:lvlJc w:val="left"/>
      <w:pPr>
        <w:tabs>
          <w:tab w:val="num" w:pos="1440"/>
        </w:tabs>
        <w:ind w:left="1440" w:right="1440" w:hanging="360"/>
      </w:pPr>
    </w:lvl>
    <w:lvl w:ilvl="2" w:tplc="040D001B" w:tentative="1">
      <w:start w:val="1"/>
      <w:numFmt w:val="lowerRoman"/>
      <w:lvlText w:val="%3."/>
      <w:lvlJc w:val="right"/>
      <w:pPr>
        <w:tabs>
          <w:tab w:val="num" w:pos="2160"/>
        </w:tabs>
        <w:ind w:left="2160" w:right="2160" w:hanging="180"/>
      </w:pPr>
    </w:lvl>
    <w:lvl w:ilvl="3" w:tplc="040D000F" w:tentative="1">
      <w:start w:val="1"/>
      <w:numFmt w:val="decimal"/>
      <w:lvlText w:val="%4."/>
      <w:lvlJc w:val="left"/>
      <w:pPr>
        <w:tabs>
          <w:tab w:val="num" w:pos="2880"/>
        </w:tabs>
        <w:ind w:left="2880" w:right="2880" w:hanging="360"/>
      </w:pPr>
    </w:lvl>
    <w:lvl w:ilvl="4" w:tplc="040D0019" w:tentative="1">
      <w:start w:val="1"/>
      <w:numFmt w:val="lowerLetter"/>
      <w:lvlText w:val="%5."/>
      <w:lvlJc w:val="left"/>
      <w:pPr>
        <w:tabs>
          <w:tab w:val="num" w:pos="3600"/>
        </w:tabs>
        <w:ind w:left="3600" w:right="3600" w:hanging="360"/>
      </w:pPr>
    </w:lvl>
    <w:lvl w:ilvl="5" w:tplc="040D001B" w:tentative="1">
      <w:start w:val="1"/>
      <w:numFmt w:val="lowerRoman"/>
      <w:lvlText w:val="%6."/>
      <w:lvlJc w:val="right"/>
      <w:pPr>
        <w:tabs>
          <w:tab w:val="num" w:pos="4320"/>
        </w:tabs>
        <w:ind w:left="4320" w:right="4320" w:hanging="180"/>
      </w:pPr>
    </w:lvl>
    <w:lvl w:ilvl="6" w:tplc="040D000F" w:tentative="1">
      <w:start w:val="1"/>
      <w:numFmt w:val="decimal"/>
      <w:lvlText w:val="%7."/>
      <w:lvlJc w:val="left"/>
      <w:pPr>
        <w:tabs>
          <w:tab w:val="num" w:pos="5040"/>
        </w:tabs>
        <w:ind w:left="5040" w:right="5040" w:hanging="360"/>
      </w:pPr>
    </w:lvl>
    <w:lvl w:ilvl="7" w:tplc="040D0019" w:tentative="1">
      <w:start w:val="1"/>
      <w:numFmt w:val="lowerLetter"/>
      <w:lvlText w:val="%8."/>
      <w:lvlJc w:val="left"/>
      <w:pPr>
        <w:tabs>
          <w:tab w:val="num" w:pos="5760"/>
        </w:tabs>
        <w:ind w:left="5760" w:right="5760" w:hanging="360"/>
      </w:pPr>
    </w:lvl>
    <w:lvl w:ilvl="8" w:tplc="040D001B" w:tentative="1">
      <w:start w:val="1"/>
      <w:numFmt w:val="lowerRoman"/>
      <w:lvlText w:val="%9."/>
      <w:lvlJc w:val="right"/>
      <w:pPr>
        <w:tabs>
          <w:tab w:val="num" w:pos="6480"/>
        </w:tabs>
        <w:ind w:left="6480" w:right="6480" w:hanging="180"/>
      </w:pPr>
    </w:lvl>
  </w:abstractNum>
  <w:abstractNum w:abstractNumId="18" w15:restartNumberingAfterBreak="0">
    <w:nsid w:val="4B152424"/>
    <w:multiLevelType w:val="hybridMultilevel"/>
    <w:tmpl w:val="FA74BFAC"/>
    <w:lvl w:ilvl="0" w:tplc="6A5CA2CC">
      <w:start w:val="2"/>
      <w:numFmt w:val="hebrew1"/>
      <w:lvlText w:val="%1."/>
      <w:lvlJc w:val="left"/>
      <w:pPr>
        <w:tabs>
          <w:tab w:val="num" w:pos="780"/>
        </w:tabs>
        <w:ind w:left="780" w:right="780" w:hanging="420"/>
      </w:pPr>
      <w:rPr>
        <w:rFonts w:hint="cs"/>
      </w:rPr>
    </w:lvl>
    <w:lvl w:ilvl="1" w:tplc="040D0019">
      <w:start w:val="1"/>
      <w:numFmt w:val="lowerLetter"/>
      <w:lvlText w:val="%2."/>
      <w:lvlJc w:val="left"/>
      <w:pPr>
        <w:tabs>
          <w:tab w:val="num" w:pos="1440"/>
        </w:tabs>
        <w:ind w:left="1440" w:right="1440" w:hanging="360"/>
      </w:pPr>
    </w:lvl>
    <w:lvl w:ilvl="2" w:tplc="040D001B">
      <w:start w:val="1"/>
      <w:numFmt w:val="lowerRoman"/>
      <w:lvlText w:val="%3."/>
      <w:lvlJc w:val="right"/>
      <w:pPr>
        <w:tabs>
          <w:tab w:val="num" w:pos="2160"/>
        </w:tabs>
        <w:ind w:left="2160" w:right="2160" w:hanging="180"/>
      </w:pPr>
    </w:lvl>
    <w:lvl w:ilvl="3" w:tplc="040D000F" w:tentative="1">
      <w:start w:val="1"/>
      <w:numFmt w:val="decimal"/>
      <w:lvlText w:val="%4."/>
      <w:lvlJc w:val="left"/>
      <w:pPr>
        <w:tabs>
          <w:tab w:val="num" w:pos="2880"/>
        </w:tabs>
        <w:ind w:left="2880" w:right="2880" w:hanging="360"/>
      </w:pPr>
    </w:lvl>
    <w:lvl w:ilvl="4" w:tplc="040D0019" w:tentative="1">
      <w:start w:val="1"/>
      <w:numFmt w:val="lowerLetter"/>
      <w:lvlText w:val="%5."/>
      <w:lvlJc w:val="left"/>
      <w:pPr>
        <w:tabs>
          <w:tab w:val="num" w:pos="3600"/>
        </w:tabs>
        <w:ind w:left="3600" w:right="3600" w:hanging="360"/>
      </w:pPr>
    </w:lvl>
    <w:lvl w:ilvl="5" w:tplc="040D001B" w:tentative="1">
      <w:start w:val="1"/>
      <w:numFmt w:val="lowerRoman"/>
      <w:lvlText w:val="%6."/>
      <w:lvlJc w:val="right"/>
      <w:pPr>
        <w:tabs>
          <w:tab w:val="num" w:pos="4320"/>
        </w:tabs>
        <w:ind w:left="4320" w:right="4320" w:hanging="180"/>
      </w:pPr>
    </w:lvl>
    <w:lvl w:ilvl="6" w:tplc="040D000F" w:tentative="1">
      <w:start w:val="1"/>
      <w:numFmt w:val="decimal"/>
      <w:lvlText w:val="%7."/>
      <w:lvlJc w:val="left"/>
      <w:pPr>
        <w:tabs>
          <w:tab w:val="num" w:pos="5040"/>
        </w:tabs>
        <w:ind w:left="5040" w:right="5040" w:hanging="360"/>
      </w:pPr>
    </w:lvl>
    <w:lvl w:ilvl="7" w:tplc="040D0019" w:tentative="1">
      <w:start w:val="1"/>
      <w:numFmt w:val="lowerLetter"/>
      <w:lvlText w:val="%8."/>
      <w:lvlJc w:val="left"/>
      <w:pPr>
        <w:tabs>
          <w:tab w:val="num" w:pos="5760"/>
        </w:tabs>
        <w:ind w:left="5760" w:right="5760" w:hanging="360"/>
      </w:pPr>
    </w:lvl>
    <w:lvl w:ilvl="8" w:tplc="040D001B" w:tentative="1">
      <w:start w:val="1"/>
      <w:numFmt w:val="lowerRoman"/>
      <w:lvlText w:val="%9."/>
      <w:lvlJc w:val="right"/>
      <w:pPr>
        <w:tabs>
          <w:tab w:val="num" w:pos="6480"/>
        </w:tabs>
        <w:ind w:left="6480" w:right="6480" w:hanging="180"/>
      </w:pPr>
    </w:lvl>
  </w:abstractNum>
  <w:abstractNum w:abstractNumId="19" w15:restartNumberingAfterBreak="0">
    <w:nsid w:val="50D71058"/>
    <w:multiLevelType w:val="hybridMultilevel"/>
    <w:tmpl w:val="586452CC"/>
    <w:lvl w:ilvl="0" w:tplc="040D0001">
      <w:start w:val="1"/>
      <w:numFmt w:val="bullet"/>
      <w:lvlText w:val=""/>
      <w:lvlJc w:val="left"/>
      <w:pPr>
        <w:tabs>
          <w:tab w:val="num" w:pos="885"/>
        </w:tabs>
        <w:ind w:left="885" w:right="885" w:hanging="360"/>
      </w:pPr>
      <w:rPr>
        <w:rFonts w:ascii="Symbol" w:hAnsi="Symbol" w:hint="default"/>
      </w:rPr>
    </w:lvl>
    <w:lvl w:ilvl="1" w:tplc="040D0003" w:tentative="1">
      <w:start w:val="1"/>
      <w:numFmt w:val="bullet"/>
      <w:lvlText w:val="o"/>
      <w:lvlJc w:val="left"/>
      <w:pPr>
        <w:tabs>
          <w:tab w:val="num" w:pos="1605"/>
        </w:tabs>
        <w:ind w:left="1605" w:right="1605" w:hanging="360"/>
      </w:pPr>
      <w:rPr>
        <w:rFonts w:ascii="Courier New" w:hAnsi="Courier New" w:hint="default"/>
      </w:rPr>
    </w:lvl>
    <w:lvl w:ilvl="2" w:tplc="040D0005" w:tentative="1">
      <w:start w:val="1"/>
      <w:numFmt w:val="bullet"/>
      <w:lvlText w:val=""/>
      <w:lvlJc w:val="left"/>
      <w:pPr>
        <w:tabs>
          <w:tab w:val="num" w:pos="2325"/>
        </w:tabs>
        <w:ind w:left="2325" w:right="2325" w:hanging="360"/>
      </w:pPr>
      <w:rPr>
        <w:rFonts w:ascii="Wingdings" w:hAnsi="Wingdings" w:hint="default"/>
      </w:rPr>
    </w:lvl>
    <w:lvl w:ilvl="3" w:tplc="040D0001" w:tentative="1">
      <w:start w:val="1"/>
      <w:numFmt w:val="bullet"/>
      <w:lvlText w:val=""/>
      <w:lvlJc w:val="left"/>
      <w:pPr>
        <w:tabs>
          <w:tab w:val="num" w:pos="3045"/>
        </w:tabs>
        <w:ind w:left="3045" w:right="3045" w:hanging="360"/>
      </w:pPr>
      <w:rPr>
        <w:rFonts w:ascii="Symbol" w:hAnsi="Symbol" w:hint="default"/>
      </w:rPr>
    </w:lvl>
    <w:lvl w:ilvl="4" w:tplc="040D0003" w:tentative="1">
      <w:start w:val="1"/>
      <w:numFmt w:val="bullet"/>
      <w:lvlText w:val="o"/>
      <w:lvlJc w:val="left"/>
      <w:pPr>
        <w:tabs>
          <w:tab w:val="num" w:pos="3765"/>
        </w:tabs>
        <w:ind w:left="3765" w:right="3765" w:hanging="360"/>
      </w:pPr>
      <w:rPr>
        <w:rFonts w:ascii="Courier New" w:hAnsi="Courier New" w:hint="default"/>
      </w:rPr>
    </w:lvl>
    <w:lvl w:ilvl="5" w:tplc="040D0005" w:tentative="1">
      <w:start w:val="1"/>
      <w:numFmt w:val="bullet"/>
      <w:lvlText w:val=""/>
      <w:lvlJc w:val="left"/>
      <w:pPr>
        <w:tabs>
          <w:tab w:val="num" w:pos="4485"/>
        </w:tabs>
        <w:ind w:left="4485" w:right="4485" w:hanging="360"/>
      </w:pPr>
      <w:rPr>
        <w:rFonts w:ascii="Wingdings" w:hAnsi="Wingdings" w:hint="default"/>
      </w:rPr>
    </w:lvl>
    <w:lvl w:ilvl="6" w:tplc="040D0001" w:tentative="1">
      <w:start w:val="1"/>
      <w:numFmt w:val="bullet"/>
      <w:lvlText w:val=""/>
      <w:lvlJc w:val="left"/>
      <w:pPr>
        <w:tabs>
          <w:tab w:val="num" w:pos="5205"/>
        </w:tabs>
        <w:ind w:left="5205" w:right="5205" w:hanging="360"/>
      </w:pPr>
      <w:rPr>
        <w:rFonts w:ascii="Symbol" w:hAnsi="Symbol" w:hint="default"/>
      </w:rPr>
    </w:lvl>
    <w:lvl w:ilvl="7" w:tplc="040D0003" w:tentative="1">
      <w:start w:val="1"/>
      <w:numFmt w:val="bullet"/>
      <w:lvlText w:val="o"/>
      <w:lvlJc w:val="left"/>
      <w:pPr>
        <w:tabs>
          <w:tab w:val="num" w:pos="5925"/>
        </w:tabs>
        <w:ind w:left="5925" w:right="5925" w:hanging="360"/>
      </w:pPr>
      <w:rPr>
        <w:rFonts w:ascii="Courier New" w:hAnsi="Courier New" w:hint="default"/>
      </w:rPr>
    </w:lvl>
    <w:lvl w:ilvl="8" w:tplc="040D0005" w:tentative="1">
      <w:start w:val="1"/>
      <w:numFmt w:val="bullet"/>
      <w:lvlText w:val=""/>
      <w:lvlJc w:val="left"/>
      <w:pPr>
        <w:tabs>
          <w:tab w:val="num" w:pos="6645"/>
        </w:tabs>
        <w:ind w:left="6645" w:right="6645" w:hanging="360"/>
      </w:pPr>
      <w:rPr>
        <w:rFonts w:ascii="Wingdings" w:hAnsi="Wingdings" w:hint="default"/>
      </w:rPr>
    </w:lvl>
  </w:abstractNum>
  <w:abstractNum w:abstractNumId="20" w15:restartNumberingAfterBreak="0">
    <w:nsid w:val="5A096246"/>
    <w:multiLevelType w:val="hybridMultilevel"/>
    <w:tmpl w:val="ECE82872"/>
    <w:lvl w:ilvl="0" w:tplc="0908FB2E">
      <w:start w:val="1"/>
      <w:numFmt w:val="hebrew1"/>
      <w:pStyle w:val="Heading5"/>
      <w:lvlText w:val="%1."/>
      <w:lvlJc w:val="left"/>
      <w:pPr>
        <w:tabs>
          <w:tab w:val="num" w:pos="392"/>
        </w:tabs>
        <w:ind w:left="392" w:right="720" w:hanging="360"/>
      </w:pPr>
      <w:rPr>
        <w:rFonts w:hint="cs"/>
      </w:rPr>
    </w:lvl>
    <w:lvl w:ilvl="1" w:tplc="040D0019" w:tentative="1">
      <w:start w:val="1"/>
      <w:numFmt w:val="lowerLetter"/>
      <w:lvlText w:val="%2."/>
      <w:lvlJc w:val="left"/>
      <w:pPr>
        <w:tabs>
          <w:tab w:val="num" w:pos="1247"/>
        </w:tabs>
        <w:ind w:left="1247" w:right="1740" w:hanging="360"/>
      </w:pPr>
    </w:lvl>
    <w:lvl w:ilvl="2" w:tplc="040D001B" w:tentative="1">
      <w:start w:val="1"/>
      <w:numFmt w:val="lowerRoman"/>
      <w:lvlText w:val="%3."/>
      <w:lvlJc w:val="right"/>
      <w:pPr>
        <w:tabs>
          <w:tab w:val="num" w:pos="1967"/>
        </w:tabs>
        <w:ind w:left="1967" w:right="2460" w:hanging="180"/>
      </w:pPr>
    </w:lvl>
    <w:lvl w:ilvl="3" w:tplc="040D000F" w:tentative="1">
      <w:start w:val="1"/>
      <w:numFmt w:val="decimal"/>
      <w:lvlText w:val="%4."/>
      <w:lvlJc w:val="left"/>
      <w:pPr>
        <w:tabs>
          <w:tab w:val="num" w:pos="2687"/>
        </w:tabs>
        <w:ind w:left="2687" w:right="3180" w:hanging="360"/>
      </w:pPr>
    </w:lvl>
    <w:lvl w:ilvl="4" w:tplc="040D0019" w:tentative="1">
      <w:start w:val="1"/>
      <w:numFmt w:val="lowerLetter"/>
      <w:lvlText w:val="%5."/>
      <w:lvlJc w:val="left"/>
      <w:pPr>
        <w:tabs>
          <w:tab w:val="num" w:pos="3407"/>
        </w:tabs>
        <w:ind w:left="3407" w:right="3900" w:hanging="360"/>
      </w:pPr>
    </w:lvl>
    <w:lvl w:ilvl="5" w:tplc="040D001B" w:tentative="1">
      <w:start w:val="1"/>
      <w:numFmt w:val="lowerRoman"/>
      <w:lvlText w:val="%6."/>
      <w:lvlJc w:val="right"/>
      <w:pPr>
        <w:tabs>
          <w:tab w:val="num" w:pos="4127"/>
        </w:tabs>
        <w:ind w:left="4127" w:right="4620" w:hanging="180"/>
      </w:pPr>
    </w:lvl>
    <w:lvl w:ilvl="6" w:tplc="040D000F" w:tentative="1">
      <w:start w:val="1"/>
      <w:numFmt w:val="decimal"/>
      <w:lvlText w:val="%7."/>
      <w:lvlJc w:val="left"/>
      <w:pPr>
        <w:tabs>
          <w:tab w:val="num" w:pos="4847"/>
        </w:tabs>
        <w:ind w:left="4847" w:right="5340" w:hanging="360"/>
      </w:pPr>
    </w:lvl>
    <w:lvl w:ilvl="7" w:tplc="040D0019" w:tentative="1">
      <w:start w:val="1"/>
      <w:numFmt w:val="lowerLetter"/>
      <w:lvlText w:val="%8."/>
      <w:lvlJc w:val="left"/>
      <w:pPr>
        <w:tabs>
          <w:tab w:val="num" w:pos="5567"/>
        </w:tabs>
        <w:ind w:left="5567" w:right="6060" w:hanging="360"/>
      </w:pPr>
    </w:lvl>
    <w:lvl w:ilvl="8" w:tplc="040D001B" w:tentative="1">
      <w:start w:val="1"/>
      <w:numFmt w:val="lowerRoman"/>
      <w:lvlText w:val="%9."/>
      <w:lvlJc w:val="right"/>
      <w:pPr>
        <w:tabs>
          <w:tab w:val="num" w:pos="6287"/>
        </w:tabs>
        <w:ind w:left="6287" w:right="6780" w:hanging="180"/>
      </w:pPr>
    </w:lvl>
  </w:abstractNum>
  <w:abstractNum w:abstractNumId="21" w15:restartNumberingAfterBreak="0">
    <w:nsid w:val="5BC97E42"/>
    <w:multiLevelType w:val="multilevel"/>
    <w:tmpl w:val="853265B8"/>
    <w:lvl w:ilvl="0">
      <w:start w:val="1"/>
      <w:numFmt w:val="hebrew1"/>
      <w:lvlText w:val="%1."/>
      <w:lvlJc w:val="left"/>
      <w:pPr>
        <w:tabs>
          <w:tab w:val="num" w:pos="392"/>
        </w:tabs>
        <w:ind w:left="392" w:right="720" w:hanging="360"/>
      </w:pPr>
      <w:rPr>
        <w:rFonts w:hint="cs"/>
      </w:rPr>
    </w:lvl>
    <w:lvl w:ilvl="1">
      <w:start w:val="1"/>
      <w:numFmt w:val="lowerLetter"/>
      <w:lvlText w:val="%2."/>
      <w:lvlJc w:val="left"/>
      <w:pPr>
        <w:tabs>
          <w:tab w:val="num" w:pos="1247"/>
        </w:tabs>
        <w:ind w:left="1247" w:right="1740" w:hanging="360"/>
      </w:pPr>
    </w:lvl>
    <w:lvl w:ilvl="2">
      <w:start w:val="1"/>
      <w:numFmt w:val="lowerRoman"/>
      <w:lvlText w:val="%3."/>
      <w:lvlJc w:val="right"/>
      <w:pPr>
        <w:tabs>
          <w:tab w:val="num" w:pos="1967"/>
        </w:tabs>
        <w:ind w:left="1967" w:right="2460" w:hanging="180"/>
      </w:pPr>
    </w:lvl>
    <w:lvl w:ilvl="3">
      <w:start w:val="1"/>
      <w:numFmt w:val="decimal"/>
      <w:lvlText w:val="%4."/>
      <w:lvlJc w:val="left"/>
      <w:pPr>
        <w:tabs>
          <w:tab w:val="num" w:pos="2687"/>
        </w:tabs>
        <w:ind w:left="2687" w:right="3180" w:hanging="360"/>
      </w:pPr>
    </w:lvl>
    <w:lvl w:ilvl="4">
      <w:start w:val="1"/>
      <w:numFmt w:val="lowerLetter"/>
      <w:lvlText w:val="%5."/>
      <w:lvlJc w:val="left"/>
      <w:pPr>
        <w:tabs>
          <w:tab w:val="num" w:pos="3407"/>
        </w:tabs>
        <w:ind w:left="3407" w:right="3900" w:hanging="360"/>
      </w:pPr>
    </w:lvl>
    <w:lvl w:ilvl="5">
      <w:start w:val="1"/>
      <w:numFmt w:val="lowerRoman"/>
      <w:lvlText w:val="%6."/>
      <w:lvlJc w:val="right"/>
      <w:pPr>
        <w:tabs>
          <w:tab w:val="num" w:pos="4127"/>
        </w:tabs>
        <w:ind w:left="4127" w:right="4620" w:hanging="180"/>
      </w:pPr>
    </w:lvl>
    <w:lvl w:ilvl="6">
      <w:start w:val="1"/>
      <w:numFmt w:val="decimal"/>
      <w:lvlText w:val="%7."/>
      <w:lvlJc w:val="left"/>
      <w:pPr>
        <w:tabs>
          <w:tab w:val="num" w:pos="4847"/>
        </w:tabs>
        <w:ind w:left="4847" w:right="5340" w:hanging="360"/>
      </w:pPr>
    </w:lvl>
    <w:lvl w:ilvl="7">
      <w:start w:val="1"/>
      <w:numFmt w:val="lowerLetter"/>
      <w:lvlText w:val="%8."/>
      <w:lvlJc w:val="left"/>
      <w:pPr>
        <w:tabs>
          <w:tab w:val="num" w:pos="5567"/>
        </w:tabs>
        <w:ind w:left="5567" w:right="6060" w:hanging="360"/>
      </w:pPr>
    </w:lvl>
    <w:lvl w:ilvl="8">
      <w:start w:val="1"/>
      <w:numFmt w:val="lowerRoman"/>
      <w:lvlText w:val="%9."/>
      <w:lvlJc w:val="right"/>
      <w:pPr>
        <w:tabs>
          <w:tab w:val="num" w:pos="6287"/>
        </w:tabs>
        <w:ind w:left="6287" w:right="6780" w:hanging="180"/>
      </w:pPr>
    </w:lvl>
  </w:abstractNum>
  <w:abstractNum w:abstractNumId="22" w15:restartNumberingAfterBreak="0">
    <w:nsid w:val="5CEA55BB"/>
    <w:multiLevelType w:val="multilevel"/>
    <w:tmpl w:val="614E7616"/>
    <w:lvl w:ilvl="0">
      <w:start w:val="1"/>
      <w:numFmt w:val="hebrew1"/>
      <w:lvlText w:val="%1."/>
      <w:lvlJc w:val="left"/>
      <w:pPr>
        <w:tabs>
          <w:tab w:val="num" w:pos="885"/>
        </w:tabs>
        <w:ind w:left="885" w:right="720" w:hanging="360"/>
      </w:pPr>
      <w:rPr>
        <w:rFonts w:hint="cs"/>
      </w:rPr>
    </w:lvl>
    <w:lvl w:ilvl="1">
      <w:start w:val="1"/>
      <w:numFmt w:val="lowerLetter"/>
      <w:lvlText w:val="%2."/>
      <w:lvlJc w:val="left"/>
      <w:pPr>
        <w:tabs>
          <w:tab w:val="num" w:pos="1740"/>
        </w:tabs>
        <w:ind w:left="1740" w:right="1740" w:hanging="360"/>
      </w:pPr>
    </w:lvl>
    <w:lvl w:ilvl="2">
      <w:start w:val="1"/>
      <w:numFmt w:val="lowerRoman"/>
      <w:lvlText w:val="%3."/>
      <w:lvlJc w:val="right"/>
      <w:pPr>
        <w:tabs>
          <w:tab w:val="num" w:pos="2460"/>
        </w:tabs>
        <w:ind w:left="2460" w:right="2460" w:hanging="180"/>
      </w:pPr>
    </w:lvl>
    <w:lvl w:ilvl="3">
      <w:start w:val="1"/>
      <w:numFmt w:val="decimal"/>
      <w:lvlText w:val="%4."/>
      <w:lvlJc w:val="left"/>
      <w:pPr>
        <w:tabs>
          <w:tab w:val="num" w:pos="3180"/>
        </w:tabs>
        <w:ind w:left="3180" w:right="3180" w:hanging="360"/>
      </w:pPr>
    </w:lvl>
    <w:lvl w:ilvl="4">
      <w:start w:val="1"/>
      <w:numFmt w:val="lowerLetter"/>
      <w:lvlText w:val="%5."/>
      <w:lvlJc w:val="left"/>
      <w:pPr>
        <w:tabs>
          <w:tab w:val="num" w:pos="3900"/>
        </w:tabs>
        <w:ind w:left="3900" w:right="3900" w:hanging="360"/>
      </w:pPr>
    </w:lvl>
    <w:lvl w:ilvl="5">
      <w:start w:val="1"/>
      <w:numFmt w:val="lowerRoman"/>
      <w:lvlText w:val="%6."/>
      <w:lvlJc w:val="right"/>
      <w:pPr>
        <w:tabs>
          <w:tab w:val="num" w:pos="4620"/>
        </w:tabs>
        <w:ind w:left="4620" w:right="4620" w:hanging="180"/>
      </w:pPr>
    </w:lvl>
    <w:lvl w:ilvl="6">
      <w:start w:val="1"/>
      <w:numFmt w:val="decimal"/>
      <w:lvlText w:val="%7."/>
      <w:lvlJc w:val="left"/>
      <w:pPr>
        <w:tabs>
          <w:tab w:val="num" w:pos="5340"/>
        </w:tabs>
        <w:ind w:left="5340" w:right="5340" w:hanging="360"/>
      </w:pPr>
    </w:lvl>
    <w:lvl w:ilvl="7">
      <w:start w:val="1"/>
      <w:numFmt w:val="lowerLetter"/>
      <w:lvlText w:val="%8."/>
      <w:lvlJc w:val="left"/>
      <w:pPr>
        <w:tabs>
          <w:tab w:val="num" w:pos="6060"/>
        </w:tabs>
        <w:ind w:left="6060" w:right="6060" w:hanging="360"/>
      </w:pPr>
    </w:lvl>
    <w:lvl w:ilvl="8">
      <w:start w:val="1"/>
      <w:numFmt w:val="lowerRoman"/>
      <w:lvlText w:val="%9."/>
      <w:lvlJc w:val="right"/>
      <w:pPr>
        <w:tabs>
          <w:tab w:val="num" w:pos="6780"/>
        </w:tabs>
        <w:ind w:left="6780" w:right="6780" w:hanging="180"/>
      </w:pPr>
    </w:lvl>
  </w:abstractNum>
  <w:abstractNum w:abstractNumId="23" w15:restartNumberingAfterBreak="0">
    <w:nsid w:val="6281349B"/>
    <w:multiLevelType w:val="multilevel"/>
    <w:tmpl w:val="E3E6A81C"/>
    <w:lvl w:ilvl="0">
      <w:start w:val="1"/>
      <w:numFmt w:val="hebrew1"/>
      <w:lvlText w:val="%1."/>
      <w:lvlJc w:val="left"/>
      <w:pPr>
        <w:tabs>
          <w:tab w:val="num" w:pos="720"/>
        </w:tabs>
        <w:ind w:left="720" w:right="720" w:hanging="360"/>
      </w:pPr>
      <w:rPr>
        <w:rFonts w:hint="cs"/>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5D67EF1"/>
    <w:multiLevelType w:val="multilevel"/>
    <w:tmpl w:val="614E7616"/>
    <w:lvl w:ilvl="0">
      <w:start w:val="1"/>
      <w:numFmt w:val="hebrew1"/>
      <w:lvlText w:val="%1."/>
      <w:lvlJc w:val="left"/>
      <w:pPr>
        <w:tabs>
          <w:tab w:val="num" w:pos="392"/>
        </w:tabs>
        <w:ind w:left="392" w:right="720" w:hanging="360"/>
      </w:pPr>
      <w:rPr>
        <w:rFonts w:hint="cs"/>
      </w:rPr>
    </w:lvl>
    <w:lvl w:ilvl="1">
      <w:start w:val="1"/>
      <w:numFmt w:val="lowerLetter"/>
      <w:lvlText w:val="%2."/>
      <w:lvlJc w:val="left"/>
      <w:pPr>
        <w:tabs>
          <w:tab w:val="num" w:pos="1247"/>
        </w:tabs>
        <w:ind w:left="1247" w:right="1740" w:hanging="360"/>
      </w:pPr>
    </w:lvl>
    <w:lvl w:ilvl="2">
      <w:start w:val="1"/>
      <w:numFmt w:val="lowerRoman"/>
      <w:lvlText w:val="%3."/>
      <w:lvlJc w:val="right"/>
      <w:pPr>
        <w:tabs>
          <w:tab w:val="num" w:pos="1967"/>
        </w:tabs>
        <w:ind w:left="1967" w:right="2460" w:hanging="180"/>
      </w:pPr>
    </w:lvl>
    <w:lvl w:ilvl="3">
      <w:start w:val="1"/>
      <w:numFmt w:val="decimal"/>
      <w:lvlText w:val="%4."/>
      <w:lvlJc w:val="left"/>
      <w:pPr>
        <w:tabs>
          <w:tab w:val="num" w:pos="2687"/>
        </w:tabs>
        <w:ind w:left="2687" w:right="3180" w:hanging="360"/>
      </w:pPr>
    </w:lvl>
    <w:lvl w:ilvl="4">
      <w:start w:val="1"/>
      <w:numFmt w:val="lowerLetter"/>
      <w:lvlText w:val="%5."/>
      <w:lvlJc w:val="left"/>
      <w:pPr>
        <w:tabs>
          <w:tab w:val="num" w:pos="3407"/>
        </w:tabs>
        <w:ind w:left="3407" w:right="3900" w:hanging="360"/>
      </w:pPr>
    </w:lvl>
    <w:lvl w:ilvl="5">
      <w:start w:val="1"/>
      <w:numFmt w:val="lowerRoman"/>
      <w:lvlText w:val="%6."/>
      <w:lvlJc w:val="right"/>
      <w:pPr>
        <w:tabs>
          <w:tab w:val="num" w:pos="4127"/>
        </w:tabs>
        <w:ind w:left="4127" w:right="4620" w:hanging="180"/>
      </w:pPr>
    </w:lvl>
    <w:lvl w:ilvl="6">
      <w:start w:val="1"/>
      <w:numFmt w:val="decimal"/>
      <w:lvlText w:val="%7."/>
      <w:lvlJc w:val="left"/>
      <w:pPr>
        <w:tabs>
          <w:tab w:val="num" w:pos="4847"/>
        </w:tabs>
        <w:ind w:left="4847" w:right="5340" w:hanging="360"/>
      </w:pPr>
    </w:lvl>
    <w:lvl w:ilvl="7">
      <w:start w:val="1"/>
      <w:numFmt w:val="lowerLetter"/>
      <w:lvlText w:val="%8."/>
      <w:lvlJc w:val="left"/>
      <w:pPr>
        <w:tabs>
          <w:tab w:val="num" w:pos="5567"/>
        </w:tabs>
        <w:ind w:left="5567" w:right="6060" w:hanging="360"/>
      </w:pPr>
    </w:lvl>
    <w:lvl w:ilvl="8">
      <w:start w:val="1"/>
      <w:numFmt w:val="lowerRoman"/>
      <w:lvlText w:val="%9."/>
      <w:lvlJc w:val="right"/>
      <w:pPr>
        <w:tabs>
          <w:tab w:val="num" w:pos="6287"/>
        </w:tabs>
        <w:ind w:left="6287" w:right="6780" w:hanging="180"/>
      </w:pPr>
    </w:lvl>
  </w:abstractNum>
  <w:abstractNum w:abstractNumId="25" w15:restartNumberingAfterBreak="0">
    <w:nsid w:val="686C5780"/>
    <w:multiLevelType w:val="hybridMultilevel"/>
    <w:tmpl w:val="BB4E58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F52F07"/>
    <w:multiLevelType w:val="hybridMultilevel"/>
    <w:tmpl w:val="D7CE9A34"/>
    <w:lvl w:ilvl="0" w:tplc="040D0001">
      <w:start w:val="1"/>
      <w:numFmt w:val="bullet"/>
      <w:lvlText w:val=""/>
      <w:lvlJc w:val="left"/>
      <w:pPr>
        <w:tabs>
          <w:tab w:val="num" w:pos="720"/>
        </w:tabs>
        <w:ind w:left="720" w:right="720" w:hanging="360"/>
      </w:pPr>
      <w:rPr>
        <w:rFonts w:ascii="Symbol" w:hAnsi="Symbol" w:hint="default"/>
      </w:rPr>
    </w:lvl>
    <w:lvl w:ilvl="1" w:tplc="040D0003" w:tentative="1">
      <w:start w:val="1"/>
      <w:numFmt w:val="bullet"/>
      <w:lvlText w:val="o"/>
      <w:lvlJc w:val="left"/>
      <w:pPr>
        <w:tabs>
          <w:tab w:val="num" w:pos="1440"/>
        </w:tabs>
        <w:ind w:left="1440" w:right="1440" w:hanging="360"/>
      </w:pPr>
      <w:rPr>
        <w:rFonts w:ascii="Courier New" w:hAnsi="Courier New" w:hint="default"/>
      </w:rPr>
    </w:lvl>
    <w:lvl w:ilvl="2" w:tplc="040D0005" w:tentative="1">
      <w:start w:val="1"/>
      <w:numFmt w:val="bullet"/>
      <w:lvlText w:val=""/>
      <w:lvlJc w:val="left"/>
      <w:pPr>
        <w:tabs>
          <w:tab w:val="num" w:pos="2160"/>
        </w:tabs>
        <w:ind w:left="2160" w:right="2160" w:hanging="360"/>
      </w:pPr>
      <w:rPr>
        <w:rFonts w:ascii="Wingdings" w:hAnsi="Wingdings" w:hint="default"/>
      </w:rPr>
    </w:lvl>
    <w:lvl w:ilvl="3" w:tplc="040D0001" w:tentative="1">
      <w:start w:val="1"/>
      <w:numFmt w:val="bullet"/>
      <w:lvlText w:val=""/>
      <w:lvlJc w:val="left"/>
      <w:pPr>
        <w:tabs>
          <w:tab w:val="num" w:pos="2880"/>
        </w:tabs>
        <w:ind w:left="2880" w:right="2880" w:hanging="360"/>
      </w:pPr>
      <w:rPr>
        <w:rFonts w:ascii="Symbol" w:hAnsi="Symbol" w:hint="default"/>
      </w:rPr>
    </w:lvl>
    <w:lvl w:ilvl="4" w:tplc="040D0003" w:tentative="1">
      <w:start w:val="1"/>
      <w:numFmt w:val="bullet"/>
      <w:lvlText w:val="o"/>
      <w:lvlJc w:val="left"/>
      <w:pPr>
        <w:tabs>
          <w:tab w:val="num" w:pos="3600"/>
        </w:tabs>
        <w:ind w:left="3600" w:right="3600" w:hanging="360"/>
      </w:pPr>
      <w:rPr>
        <w:rFonts w:ascii="Courier New" w:hAnsi="Courier New" w:hint="default"/>
      </w:rPr>
    </w:lvl>
    <w:lvl w:ilvl="5" w:tplc="040D0005" w:tentative="1">
      <w:start w:val="1"/>
      <w:numFmt w:val="bullet"/>
      <w:lvlText w:val=""/>
      <w:lvlJc w:val="left"/>
      <w:pPr>
        <w:tabs>
          <w:tab w:val="num" w:pos="4320"/>
        </w:tabs>
        <w:ind w:left="4320" w:right="4320" w:hanging="360"/>
      </w:pPr>
      <w:rPr>
        <w:rFonts w:ascii="Wingdings" w:hAnsi="Wingdings" w:hint="default"/>
      </w:rPr>
    </w:lvl>
    <w:lvl w:ilvl="6" w:tplc="040D0001" w:tentative="1">
      <w:start w:val="1"/>
      <w:numFmt w:val="bullet"/>
      <w:lvlText w:val=""/>
      <w:lvlJc w:val="left"/>
      <w:pPr>
        <w:tabs>
          <w:tab w:val="num" w:pos="5040"/>
        </w:tabs>
        <w:ind w:left="5040" w:right="5040" w:hanging="360"/>
      </w:pPr>
      <w:rPr>
        <w:rFonts w:ascii="Symbol" w:hAnsi="Symbol" w:hint="default"/>
      </w:rPr>
    </w:lvl>
    <w:lvl w:ilvl="7" w:tplc="040D0003" w:tentative="1">
      <w:start w:val="1"/>
      <w:numFmt w:val="bullet"/>
      <w:lvlText w:val="o"/>
      <w:lvlJc w:val="left"/>
      <w:pPr>
        <w:tabs>
          <w:tab w:val="num" w:pos="5760"/>
        </w:tabs>
        <w:ind w:left="5760" w:right="5760" w:hanging="360"/>
      </w:pPr>
      <w:rPr>
        <w:rFonts w:ascii="Courier New" w:hAnsi="Courier New" w:hint="default"/>
      </w:rPr>
    </w:lvl>
    <w:lvl w:ilvl="8" w:tplc="040D0005" w:tentative="1">
      <w:start w:val="1"/>
      <w:numFmt w:val="bullet"/>
      <w:lvlText w:val=""/>
      <w:lvlJc w:val="left"/>
      <w:pPr>
        <w:tabs>
          <w:tab w:val="num" w:pos="6480"/>
        </w:tabs>
        <w:ind w:left="6480" w:right="6480" w:hanging="360"/>
      </w:pPr>
      <w:rPr>
        <w:rFonts w:ascii="Wingdings" w:hAnsi="Wingdings" w:hint="default"/>
      </w:rPr>
    </w:lvl>
  </w:abstractNum>
  <w:abstractNum w:abstractNumId="27" w15:restartNumberingAfterBreak="0">
    <w:nsid w:val="7C5F2143"/>
    <w:multiLevelType w:val="hybridMultilevel"/>
    <w:tmpl w:val="D38E9498"/>
    <w:lvl w:ilvl="0" w:tplc="0908FB2E">
      <w:start w:val="1"/>
      <w:numFmt w:val="hebrew1"/>
      <w:lvlText w:val="%1."/>
      <w:lvlJc w:val="left"/>
      <w:pPr>
        <w:tabs>
          <w:tab w:val="num" w:pos="720"/>
        </w:tabs>
        <w:ind w:left="720" w:right="720" w:hanging="360"/>
      </w:pPr>
      <w:rPr>
        <w:rFonts w:hint="cs"/>
      </w:rPr>
    </w:lvl>
    <w:lvl w:ilvl="1" w:tplc="FC1A1F6E">
      <w:start w:val="1"/>
      <w:numFmt w:val="decimal"/>
      <w:lvlText w:val="%2."/>
      <w:lvlJc w:val="left"/>
      <w:pPr>
        <w:tabs>
          <w:tab w:val="num" w:pos="1440"/>
        </w:tabs>
        <w:ind w:left="1440" w:right="1440" w:hanging="360"/>
      </w:pPr>
      <w:rPr>
        <w:rFonts w:hint="default"/>
      </w:rPr>
    </w:lvl>
    <w:lvl w:ilvl="2" w:tplc="040D001B">
      <w:start w:val="1"/>
      <w:numFmt w:val="lowerRoman"/>
      <w:lvlText w:val="%3."/>
      <w:lvlJc w:val="right"/>
      <w:pPr>
        <w:tabs>
          <w:tab w:val="num" w:pos="2160"/>
        </w:tabs>
        <w:ind w:left="2160" w:right="2160" w:hanging="180"/>
      </w:pPr>
    </w:lvl>
    <w:lvl w:ilvl="3" w:tplc="040D000F">
      <w:start w:val="1"/>
      <w:numFmt w:val="decimal"/>
      <w:lvlText w:val="%4."/>
      <w:lvlJc w:val="left"/>
      <w:pPr>
        <w:tabs>
          <w:tab w:val="num" w:pos="2880"/>
        </w:tabs>
        <w:ind w:left="2880" w:right="2880" w:hanging="360"/>
      </w:pPr>
    </w:lvl>
    <w:lvl w:ilvl="4" w:tplc="38F43DB2">
      <w:start w:val="1"/>
      <w:numFmt w:val="bullet"/>
      <w:lvlText w:val=""/>
      <w:lvlJc w:val="left"/>
      <w:pPr>
        <w:tabs>
          <w:tab w:val="num" w:pos="3600"/>
        </w:tabs>
        <w:ind w:left="3600" w:right="3600" w:hanging="360"/>
      </w:pPr>
      <w:rPr>
        <w:rFonts w:ascii="Symbol" w:eastAsia="Times New Roman" w:hAnsi="Symbol" w:cs="David" w:hint="default"/>
      </w:rPr>
    </w:lvl>
    <w:lvl w:ilvl="5" w:tplc="040D001B" w:tentative="1">
      <w:start w:val="1"/>
      <w:numFmt w:val="lowerRoman"/>
      <w:lvlText w:val="%6."/>
      <w:lvlJc w:val="right"/>
      <w:pPr>
        <w:tabs>
          <w:tab w:val="num" w:pos="4320"/>
        </w:tabs>
        <w:ind w:left="4320" w:right="4320" w:hanging="180"/>
      </w:pPr>
    </w:lvl>
    <w:lvl w:ilvl="6" w:tplc="040D000F" w:tentative="1">
      <w:start w:val="1"/>
      <w:numFmt w:val="decimal"/>
      <w:lvlText w:val="%7."/>
      <w:lvlJc w:val="left"/>
      <w:pPr>
        <w:tabs>
          <w:tab w:val="num" w:pos="5040"/>
        </w:tabs>
        <w:ind w:left="5040" w:right="5040" w:hanging="360"/>
      </w:pPr>
    </w:lvl>
    <w:lvl w:ilvl="7" w:tplc="040D0019" w:tentative="1">
      <w:start w:val="1"/>
      <w:numFmt w:val="lowerLetter"/>
      <w:lvlText w:val="%8."/>
      <w:lvlJc w:val="left"/>
      <w:pPr>
        <w:tabs>
          <w:tab w:val="num" w:pos="5760"/>
        </w:tabs>
        <w:ind w:left="5760" w:right="5760" w:hanging="360"/>
      </w:pPr>
    </w:lvl>
    <w:lvl w:ilvl="8" w:tplc="040D001B" w:tentative="1">
      <w:start w:val="1"/>
      <w:numFmt w:val="lowerRoman"/>
      <w:lvlText w:val="%9."/>
      <w:lvlJc w:val="right"/>
      <w:pPr>
        <w:tabs>
          <w:tab w:val="num" w:pos="6480"/>
        </w:tabs>
        <w:ind w:left="6480" w:right="6480" w:hanging="180"/>
      </w:pPr>
    </w:lvl>
  </w:abstractNum>
  <w:num w:numId="1">
    <w:abstractNumId w:val="27"/>
  </w:num>
  <w:num w:numId="2">
    <w:abstractNumId w:val="6"/>
  </w:num>
  <w:num w:numId="3">
    <w:abstractNumId w:val="9"/>
  </w:num>
  <w:num w:numId="4">
    <w:abstractNumId w:val="27"/>
    <w:lvlOverride w:ilvl="0">
      <w:startOverride w:val="3"/>
    </w:lvlOverride>
  </w:num>
  <w:num w:numId="5">
    <w:abstractNumId w:val="7"/>
  </w:num>
  <w:num w:numId="6">
    <w:abstractNumId w:val="27"/>
    <w:lvlOverride w:ilvl="0">
      <w:startOverride w:val="3"/>
    </w:lvlOverride>
  </w:num>
  <w:num w:numId="7">
    <w:abstractNumId w:val="1"/>
  </w:num>
  <w:num w:numId="8">
    <w:abstractNumId w:val="27"/>
  </w:num>
  <w:num w:numId="9">
    <w:abstractNumId w:val="3"/>
  </w:num>
  <w:num w:numId="10">
    <w:abstractNumId w:val="19"/>
  </w:num>
  <w:num w:numId="11">
    <w:abstractNumId w:val="20"/>
  </w:num>
  <w:num w:numId="12">
    <w:abstractNumId w:val="17"/>
  </w:num>
  <w:num w:numId="13">
    <w:abstractNumId w:val="18"/>
  </w:num>
  <w:num w:numId="14">
    <w:abstractNumId w:val="26"/>
  </w:num>
  <w:num w:numId="15">
    <w:abstractNumId w:val="27"/>
  </w:num>
  <w:num w:numId="16">
    <w:abstractNumId w:val="27"/>
  </w:num>
  <w:num w:numId="17">
    <w:abstractNumId w:val="11"/>
  </w:num>
  <w:num w:numId="18">
    <w:abstractNumId w:val="27"/>
  </w:num>
  <w:num w:numId="19">
    <w:abstractNumId w:val="16"/>
  </w:num>
  <w:num w:numId="20">
    <w:abstractNumId w:val="8"/>
  </w:num>
  <w:num w:numId="21">
    <w:abstractNumId w:val="0"/>
    <w:lvlOverride w:ilvl="0">
      <w:lvl w:ilvl="0">
        <w:start w:val="1"/>
        <w:numFmt w:val="irohaFullWidth"/>
        <w:lvlText w:val=""/>
        <w:legacy w:legacy="1" w:legacySpace="0" w:legacyIndent="283"/>
        <w:lvlJc w:val="center"/>
        <w:pPr>
          <w:ind w:left="850" w:right="850" w:hanging="283"/>
        </w:pPr>
        <w:rPr>
          <w:rFonts w:ascii="Symbol" w:hAnsi="Symbol" w:hint="default"/>
        </w:rPr>
      </w:lvl>
    </w:lvlOverride>
  </w:num>
  <w:num w:numId="22">
    <w:abstractNumId w:val="10"/>
  </w:num>
  <w:num w:numId="23">
    <w:abstractNumId w:val="14"/>
  </w:num>
  <w:num w:numId="24">
    <w:abstractNumId w:val="5"/>
  </w:num>
  <w:num w:numId="25">
    <w:abstractNumId w:val="2"/>
  </w:num>
  <w:num w:numId="26">
    <w:abstractNumId w:val="27"/>
  </w:num>
  <w:num w:numId="27">
    <w:abstractNumId w:val="27"/>
  </w:num>
  <w:num w:numId="28">
    <w:abstractNumId w:val="27"/>
  </w:num>
  <w:num w:numId="29">
    <w:abstractNumId w:val="27"/>
  </w:num>
  <w:num w:numId="30">
    <w:abstractNumId w:val="27"/>
  </w:num>
  <w:num w:numId="31">
    <w:abstractNumId w:val="27"/>
  </w:num>
  <w:num w:numId="32">
    <w:abstractNumId w:val="27"/>
  </w:num>
  <w:num w:numId="33">
    <w:abstractNumId w:val="27"/>
  </w:num>
  <w:num w:numId="34">
    <w:abstractNumId w:val="12"/>
  </w:num>
  <w:num w:numId="35">
    <w:abstractNumId w:val="22"/>
  </w:num>
  <w:num w:numId="36">
    <w:abstractNumId w:val="20"/>
    <w:lvlOverride w:ilvl="0">
      <w:startOverride w:val="1"/>
    </w:lvlOverride>
  </w:num>
  <w:num w:numId="37">
    <w:abstractNumId w:val="24"/>
  </w:num>
  <w:num w:numId="38">
    <w:abstractNumId w:val="13"/>
  </w:num>
  <w:num w:numId="39">
    <w:abstractNumId w:val="25"/>
  </w:num>
  <w:num w:numId="40">
    <w:abstractNumId w:val="21"/>
  </w:num>
  <w:num w:numId="41">
    <w:abstractNumId w:val="4"/>
  </w:num>
  <w:num w:numId="42">
    <w:abstractNumId w:val="15"/>
  </w:num>
  <w:num w:numId="4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5960"/>
    <w:rsid w:val="0000100D"/>
    <w:rsid w:val="00001983"/>
    <w:rsid w:val="000024EB"/>
    <w:rsid w:val="00003C74"/>
    <w:rsid w:val="00003CDF"/>
    <w:rsid w:val="00005F7D"/>
    <w:rsid w:val="00013F01"/>
    <w:rsid w:val="0001468E"/>
    <w:rsid w:val="00016233"/>
    <w:rsid w:val="00020AA5"/>
    <w:rsid w:val="00026B53"/>
    <w:rsid w:val="00030656"/>
    <w:rsid w:val="000508D7"/>
    <w:rsid w:val="00054A55"/>
    <w:rsid w:val="00055C82"/>
    <w:rsid w:val="0006006B"/>
    <w:rsid w:val="00065179"/>
    <w:rsid w:val="0007321C"/>
    <w:rsid w:val="00076383"/>
    <w:rsid w:val="00084C31"/>
    <w:rsid w:val="00086986"/>
    <w:rsid w:val="00097572"/>
    <w:rsid w:val="000A60AB"/>
    <w:rsid w:val="000D0654"/>
    <w:rsid w:val="000D088D"/>
    <w:rsid w:val="000E1BBD"/>
    <w:rsid w:val="000E3A35"/>
    <w:rsid w:val="000E70CD"/>
    <w:rsid w:val="00102B02"/>
    <w:rsid w:val="00103A91"/>
    <w:rsid w:val="0010727D"/>
    <w:rsid w:val="00107C18"/>
    <w:rsid w:val="00112A70"/>
    <w:rsid w:val="00115B6E"/>
    <w:rsid w:val="00124F3E"/>
    <w:rsid w:val="001415C8"/>
    <w:rsid w:val="00144869"/>
    <w:rsid w:val="001472F3"/>
    <w:rsid w:val="00152234"/>
    <w:rsid w:val="00156AE8"/>
    <w:rsid w:val="00161762"/>
    <w:rsid w:val="00191849"/>
    <w:rsid w:val="00191AC5"/>
    <w:rsid w:val="001A3602"/>
    <w:rsid w:val="001A6541"/>
    <w:rsid w:val="001A776F"/>
    <w:rsid w:val="001B6D42"/>
    <w:rsid w:val="001C06B7"/>
    <w:rsid w:val="001C68A7"/>
    <w:rsid w:val="001D50D4"/>
    <w:rsid w:val="001E52E6"/>
    <w:rsid w:val="001E7CDE"/>
    <w:rsid w:val="001F2104"/>
    <w:rsid w:val="001F2F5D"/>
    <w:rsid w:val="00205FC8"/>
    <w:rsid w:val="002121C7"/>
    <w:rsid w:val="00212A19"/>
    <w:rsid w:val="00217DB5"/>
    <w:rsid w:val="00230D65"/>
    <w:rsid w:val="00230ED6"/>
    <w:rsid w:val="0023546B"/>
    <w:rsid w:val="002413FE"/>
    <w:rsid w:val="00245A9A"/>
    <w:rsid w:val="002476E8"/>
    <w:rsid w:val="00266E79"/>
    <w:rsid w:val="00271099"/>
    <w:rsid w:val="00277968"/>
    <w:rsid w:val="00281397"/>
    <w:rsid w:val="002830E3"/>
    <w:rsid w:val="0028420E"/>
    <w:rsid w:val="00286705"/>
    <w:rsid w:val="0029157E"/>
    <w:rsid w:val="0029352A"/>
    <w:rsid w:val="00293A57"/>
    <w:rsid w:val="00293CD3"/>
    <w:rsid w:val="002A3B06"/>
    <w:rsid w:val="002A60EB"/>
    <w:rsid w:val="002A7327"/>
    <w:rsid w:val="002C2AC6"/>
    <w:rsid w:val="002D75D5"/>
    <w:rsid w:val="002F2ABA"/>
    <w:rsid w:val="002F732B"/>
    <w:rsid w:val="00316E19"/>
    <w:rsid w:val="00317F5F"/>
    <w:rsid w:val="0033487D"/>
    <w:rsid w:val="003408E4"/>
    <w:rsid w:val="00343E57"/>
    <w:rsid w:val="0035302F"/>
    <w:rsid w:val="0035562F"/>
    <w:rsid w:val="003560FC"/>
    <w:rsid w:val="00367CE9"/>
    <w:rsid w:val="003745B2"/>
    <w:rsid w:val="00387FB0"/>
    <w:rsid w:val="00390AFC"/>
    <w:rsid w:val="003B28AF"/>
    <w:rsid w:val="003B5C56"/>
    <w:rsid w:val="003B6647"/>
    <w:rsid w:val="003C5AED"/>
    <w:rsid w:val="003E06C5"/>
    <w:rsid w:val="004151CA"/>
    <w:rsid w:val="00440522"/>
    <w:rsid w:val="004445C8"/>
    <w:rsid w:val="00444F3C"/>
    <w:rsid w:val="00446F15"/>
    <w:rsid w:val="004517DC"/>
    <w:rsid w:val="0046495C"/>
    <w:rsid w:val="00467492"/>
    <w:rsid w:val="00477DCC"/>
    <w:rsid w:val="00491CD5"/>
    <w:rsid w:val="004A16D8"/>
    <w:rsid w:val="004A3696"/>
    <w:rsid w:val="004A4915"/>
    <w:rsid w:val="004A5C30"/>
    <w:rsid w:val="004D66A9"/>
    <w:rsid w:val="004F349B"/>
    <w:rsid w:val="00503AD0"/>
    <w:rsid w:val="00512CBC"/>
    <w:rsid w:val="005204D9"/>
    <w:rsid w:val="00521F42"/>
    <w:rsid w:val="0052255A"/>
    <w:rsid w:val="005247E6"/>
    <w:rsid w:val="00525156"/>
    <w:rsid w:val="00535E0C"/>
    <w:rsid w:val="00544158"/>
    <w:rsid w:val="00560519"/>
    <w:rsid w:val="00563E13"/>
    <w:rsid w:val="005752E5"/>
    <w:rsid w:val="00593B1D"/>
    <w:rsid w:val="005A0DC3"/>
    <w:rsid w:val="005A6560"/>
    <w:rsid w:val="005B3518"/>
    <w:rsid w:val="005C29A7"/>
    <w:rsid w:val="005D5E20"/>
    <w:rsid w:val="005E0DBD"/>
    <w:rsid w:val="005E284C"/>
    <w:rsid w:val="005F23FC"/>
    <w:rsid w:val="005F5CE2"/>
    <w:rsid w:val="00604D28"/>
    <w:rsid w:val="00616C77"/>
    <w:rsid w:val="00620582"/>
    <w:rsid w:val="00627F1B"/>
    <w:rsid w:val="00627F5D"/>
    <w:rsid w:val="00631C28"/>
    <w:rsid w:val="00647D37"/>
    <w:rsid w:val="0065189A"/>
    <w:rsid w:val="00651A9D"/>
    <w:rsid w:val="00670A85"/>
    <w:rsid w:val="006774B1"/>
    <w:rsid w:val="00693D82"/>
    <w:rsid w:val="0069488B"/>
    <w:rsid w:val="006D2545"/>
    <w:rsid w:val="006D3D7E"/>
    <w:rsid w:val="0070361C"/>
    <w:rsid w:val="0070612A"/>
    <w:rsid w:val="0070662C"/>
    <w:rsid w:val="007078A2"/>
    <w:rsid w:val="00711864"/>
    <w:rsid w:val="00713C1C"/>
    <w:rsid w:val="00715FD4"/>
    <w:rsid w:val="00720809"/>
    <w:rsid w:val="007270E3"/>
    <w:rsid w:val="00733E15"/>
    <w:rsid w:val="007509DD"/>
    <w:rsid w:val="00753B8B"/>
    <w:rsid w:val="00764914"/>
    <w:rsid w:val="007674DA"/>
    <w:rsid w:val="00775FEE"/>
    <w:rsid w:val="00776FFB"/>
    <w:rsid w:val="007847D8"/>
    <w:rsid w:val="0079333D"/>
    <w:rsid w:val="00793BDE"/>
    <w:rsid w:val="007C7D29"/>
    <w:rsid w:val="007D61B5"/>
    <w:rsid w:val="007E194B"/>
    <w:rsid w:val="007E35C6"/>
    <w:rsid w:val="007F48DC"/>
    <w:rsid w:val="007F745C"/>
    <w:rsid w:val="0080253F"/>
    <w:rsid w:val="008041A1"/>
    <w:rsid w:val="0082677A"/>
    <w:rsid w:val="00837A0C"/>
    <w:rsid w:val="008431A7"/>
    <w:rsid w:val="008437D2"/>
    <w:rsid w:val="00851D2D"/>
    <w:rsid w:val="00867E1C"/>
    <w:rsid w:val="008906B2"/>
    <w:rsid w:val="00897FF9"/>
    <w:rsid w:val="008A4C45"/>
    <w:rsid w:val="008B2AA6"/>
    <w:rsid w:val="008E40C3"/>
    <w:rsid w:val="008F76DA"/>
    <w:rsid w:val="009028EC"/>
    <w:rsid w:val="00906C97"/>
    <w:rsid w:val="0090763A"/>
    <w:rsid w:val="0091287F"/>
    <w:rsid w:val="00924A5F"/>
    <w:rsid w:val="00933F82"/>
    <w:rsid w:val="009341B4"/>
    <w:rsid w:val="009430B1"/>
    <w:rsid w:val="00946C85"/>
    <w:rsid w:val="00951DD3"/>
    <w:rsid w:val="00952A7E"/>
    <w:rsid w:val="00957FB5"/>
    <w:rsid w:val="0096521D"/>
    <w:rsid w:val="0097763C"/>
    <w:rsid w:val="009812A8"/>
    <w:rsid w:val="0098185F"/>
    <w:rsid w:val="00985100"/>
    <w:rsid w:val="0098636B"/>
    <w:rsid w:val="00991DEE"/>
    <w:rsid w:val="009A6D2B"/>
    <w:rsid w:val="009B4D97"/>
    <w:rsid w:val="009B7F72"/>
    <w:rsid w:val="009C0C16"/>
    <w:rsid w:val="009D18A9"/>
    <w:rsid w:val="009D2D57"/>
    <w:rsid w:val="009D7115"/>
    <w:rsid w:val="009E4BD8"/>
    <w:rsid w:val="009E5DCE"/>
    <w:rsid w:val="009E76A1"/>
    <w:rsid w:val="009F0E27"/>
    <w:rsid w:val="00A031CC"/>
    <w:rsid w:val="00A10BBA"/>
    <w:rsid w:val="00A134BF"/>
    <w:rsid w:val="00A16A01"/>
    <w:rsid w:val="00A22FB6"/>
    <w:rsid w:val="00A256C5"/>
    <w:rsid w:val="00A3473D"/>
    <w:rsid w:val="00A376A6"/>
    <w:rsid w:val="00A40CED"/>
    <w:rsid w:val="00A416DD"/>
    <w:rsid w:val="00A42B62"/>
    <w:rsid w:val="00A430A3"/>
    <w:rsid w:val="00A51FD4"/>
    <w:rsid w:val="00A52167"/>
    <w:rsid w:val="00A548B2"/>
    <w:rsid w:val="00A6352C"/>
    <w:rsid w:val="00A9667B"/>
    <w:rsid w:val="00A96C6C"/>
    <w:rsid w:val="00AA3C8A"/>
    <w:rsid w:val="00AB080A"/>
    <w:rsid w:val="00AB0887"/>
    <w:rsid w:val="00AB2131"/>
    <w:rsid w:val="00AB4D0E"/>
    <w:rsid w:val="00AC5E02"/>
    <w:rsid w:val="00AD536E"/>
    <w:rsid w:val="00AE357A"/>
    <w:rsid w:val="00AE3876"/>
    <w:rsid w:val="00AF0187"/>
    <w:rsid w:val="00AF1933"/>
    <w:rsid w:val="00AF1CAA"/>
    <w:rsid w:val="00B10915"/>
    <w:rsid w:val="00B123F1"/>
    <w:rsid w:val="00B13F0F"/>
    <w:rsid w:val="00B22B5E"/>
    <w:rsid w:val="00B3319E"/>
    <w:rsid w:val="00B4111F"/>
    <w:rsid w:val="00B52561"/>
    <w:rsid w:val="00B62ACC"/>
    <w:rsid w:val="00B75A9C"/>
    <w:rsid w:val="00B8307D"/>
    <w:rsid w:val="00B97A4E"/>
    <w:rsid w:val="00BA726E"/>
    <w:rsid w:val="00BB142D"/>
    <w:rsid w:val="00BB454A"/>
    <w:rsid w:val="00BB5C7C"/>
    <w:rsid w:val="00BB5DAE"/>
    <w:rsid w:val="00BC7AE9"/>
    <w:rsid w:val="00BD68B7"/>
    <w:rsid w:val="00BF4814"/>
    <w:rsid w:val="00C0167C"/>
    <w:rsid w:val="00C01C4A"/>
    <w:rsid w:val="00C30F3F"/>
    <w:rsid w:val="00C34DF4"/>
    <w:rsid w:val="00C36347"/>
    <w:rsid w:val="00C411A5"/>
    <w:rsid w:val="00C45BDC"/>
    <w:rsid w:val="00C55960"/>
    <w:rsid w:val="00C55DBE"/>
    <w:rsid w:val="00C55EBD"/>
    <w:rsid w:val="00C6389C"/>
    <w:rsid w:val="00C641AD"/>
    <w:rsid w:val="00C65204"/>
    <w:rsid w:val="00C65969"/>
    <w:rsid w:val="00C6779D"/>
    <w:rsid w:val="00C70BE5"/>
    <w:rsid w:val="00C767AD"/>
    <w:rsid w:val="00C81464"/>
    <w:rsid w:val="00C867E2"/>
    <w:rsid w:val="00C8796B"/>
    <w:rsid w:val="00C90B6A"/>
    <w:rsid w:val="00C91CB6"/>
    <w:rsid w:val="00C9615A"/>
    <w:rsid w:val="00CA1E45"/>
    <w:rsid w:val="00CA2EF6"/>
    <w:rsid w:val="00CA314C"/>
    <w:rsid w:val="00CB092D"/>
    <w:rsid w:val="00CB1CE6"/>
    <w:rsid w:val="00CB5B03"/>
    <w:rsid w:val="00CC6504"/>
    <w:rsid w:val="00CF0345"/>
    <w:rsid w:val="00CF19BC"/>
    <w:rsid w:val="00CF76AA"/>
    <w:rsid w:val="00D124C0"/>
    <w:rsid w:val="00D12E3B"/>
    <w:rsid w:val="00D16167"/>
    <w:rsid w:val="00D21E5A"/>
    <w:rsid w:val="00D40925"/>
    <w:rsid w:val="00D44917"/>
    <w:rsid w:val="00D474A6"/>
    <w:rsid w:val="00D50F91"/>
    <w:rsid w:val="00D61139"/>
    <w:rsid w:val="00D6576E"/>
    <w:rsid w:val="00D65B54"/>
    <w:rsid w:val="00D74004"/>
    <w:rsid w:val="00D7479C"/>
    <w:rsid w:val="00D83B21"/>
    <w:rsid w:val="00D9246F"/>
    <w:rsid w:val="00DA07E5"/>
    <w:rsid w:val="00DA261D"/>
    <w:rsid w:val="00DA6AE2"/>
    <w:rsid w:val="00DA7085"/>
    <w:rsid w:val="00DC4ECD"/>
    <w:rsid w:val="00DD1EB7"/>
    <w:rsid w:val="00DE3FF3"/>
    <w:rsid w:val="00E00891"/>
    <w:rsid w:val="00E05932"/>
    <w:rsid w:val="00E105E9"/>
    <w:rsid w:val="00E14266"/>
    <w:rsid w:val="00E2627E"/>
    <w:rsid w:val="00E3557B"/>
    <w:rsid w:val="00E410F3"/>
    <w:rsid w:val="00E53BAF"/>
    <w:rsid w:val="00E55991"/>
    <w:rsid w:val="00E64213"/>
    <w:rsid w:val="00E76DAE"/>
    <w:rsid w:val="00E858DB"/>
    <w:rsid w:val="00E90AF2"/>
    <w:rsid w:val="00E978A2"/>
    <w:rsid w:val="00EA3674"/>
    <w:rsid w:val="00EC4029"/>
    <w:rsid w:val="00ED20F5"/>
    <w:rsid w:val="00EF18A7"/>
    <w:rsid w:val="00EF3C5E"/>
    <w:rsid w:val="00EF6576"/>
    <w:rsid w:val="00EF7F49"/>
    <w:rsid w:val="00F073EE"/>
    <w:rsid w:val="00F10BCE"/>
    <w:rsid w:val="00F249EF"/>
    <w:rsid w:val="00F24DF5"/>
    <w:rsid w:val="00F300F2"/>
    <w:rsid w:val="00F354FD"/>
    <w:rsid w:val="00F506B1"/>
    <w:rsid w:val="00F52854"/>
    <w:rsid w:val="00F65A60"/>
    <w:rsid w:val="00F7631C"/>
    <w:rsid w:val="00F91E24"/>
    <w:rsid w:val="00F923D9"/>
    <w:rsid w:val="00F93C42"/>
    <w:rsid w:val="00FA33C2"/>
    <w:rsid w:val="00FB3BA1"/>
    <w:rsid w:val="00FC61CA"/>
    <w:rsid w:val="00FF22A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015B9D58-26DA-488C-BB10-CF01BA838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35C6"/>
    <w:pPr>
      <w:bidi/>
      <w:spacing w:before="120" w:line="360" w:lineRule="auto"/>
      <w:jc w:val="both"/>
    </w:pPr>
    <w:rPr>
      <w:rFonts w:cs="David"/>
      <w:sz w:val="22"/>
      <w:szCs w:val="24"/>
      <w:lang w:eastAsia="he-IL"/>
    </w:rPr>
  </w:style>
  <w:style w:type="paragraph" w:styleId="Heading1">
    <w:name w:val="heading 1"/>
    <w:basedOn w:val="Normal"/>
    <w:next w:val="Normal"/>
    <w:qFormat/>
    <w:pPr>
      <w:keepNext/>
      <w:spacing w:before="240" w:after="60" w:line="320" w:lineRule="exact"/>
      <w:outlineLvl w:val="0"/>
    </w:pPr>
    <w:rPr>
      <w:rFonts w:ascii="Arial" w:hAnsi="Arial" w:cs="Arial"/>
      <w:b/>
      <w:bCs/>
      <w:kern w:val="32"/>
      <w:sz w:val="32"/>
      <w:szCs w:val="32"/>
    </w:rPr>
  </w:style>
  <w:style w:type="paragraph" w:styleId="Heading2">
    <w:name w:val="heading 2"/>
    <w:basedOn w:val="Normal"/>
    <w:next w:val="Normal"/>
    <w:qFormat/>
    <w:pPr>
      <w:keepNext/>
      <w:spacing w:before="240" w:after="60" w:line="320" w:lineRule="exact"/>
      <w:outlineLvl w:val="1"/>
    </w:pPr>
    <w:rPr>
      <w:rFonts w:ascii="Arial" w:hAnsi="Arial" w:cs="Arial"/>
      <w:b/>
      <w:bCs/>
      <w:i/>
      <w:iCs/>
      <w:sz w:val="28"/>
      <w:szCs w:val="28"/>
    </w:rPr>
  </w:style>
  <w:style w:type="paragraph" w:styleId="Heading3">
    <w:name w:val="heading 3"/>
    <w:basedOn w:val="Normal"/>
    <w:next w:val="Normal"/>
    <w:qFormat/>
    <w:pPr>
      <w:keepNext/>
      <w:numPr>
        <w:numId w:val="3"/>
      </w:numPr>
      <w:tabs>
        <w:tab w:val="left" w:pos="926"/>
      </w:tabs>
      <w:ind w:right="0"/>
      <w:outlineLvl w:val="2"/>
    </w:pPr>
    <w:rPr>
      <w:b/>
      <w:bCs/>
      <w:szCs w:val="22"/>
      <w:lang w:eastAsia="en-US"/>
    </w:rPr>
  </w:style>
  <w:style w:type="paragraph" w:styleId="Heading4">
    <w:name w:val="heading 4"/>
    <w:basedOn w:val="Normal"/>
    <w:next w:val="Normal"/>
    <w:qFormat/>
    <w:pPr>
      <w:keepNext/>
      <w:spacing w:after="120" w:line="320" w:lineRule="exact"/>
      <w:ind w:right="720"/>
      <w:outlineLvl w:val="3"/>
    </w:pPr>
    <w:rPr>
      <w:sz w:val="36"/>
      <w:szCs w:val="36"/>
    </w:rPr>
  </w:style>
  <w:style w:type="paragraph" w:styleId="Heading5">
    <w:name w:val="heading 5"/>
    <w:basedOn w:val="Normal"/>
    <w:next w:val="Normal"/>
    <w:qFormat/>
    <w:pPr>
      <w:keepNext/>
      <w:numPr>
        <w:numId w:val="11"/>
      </w:numPr>
      <w:outlineLvl w:val="4"/>
    </w:pPr>
    <w:rPr>
      <w:sz w:val="28"/>
      <w:szCs w:val="28"/>
    </w:rPr>
  </w:style>
  <w:style w:type="paragraph" w:styleId="Heading6">
    <w:name w:val="heading 6"/>
    <w:basedOn w:val="Normal"/>
    <w:next w:val="Normal"/>
    <w:qFormat/>
    <w:pPr>
      <w:keepNext/>
      <w:tabs>
        <w:tab w:val="left" w:pos="926"/>
      </w:tabs>
      <w:outlineLvl w:val="5"/>
    </w:pPr>
    <w:rPr>
      <w:b/>
      <w:bCs/>
      <w:sz w:val="28"/>
      <w:szCs w:val="28"/>
      <w:lang w:eastAsia="en-US"/>
    </w:rPr>
  </w:style>
  <w:style w:type="paragraph" w:styleId="Heading7">
    <w:name w:val="heading 7"/>
    <w:basedOn w:val="Normal"/>
    <w:next w:val="Normal"/>
    <w:qFormat/>
    <w:pPr>
      <w:keepNext/>
      <w:tabs>
        <w:tab w:val="left" w:pos="926"/>
      </w:tabs>
      <w:ind w:left="360"/>
      <w:outlineLvl w:val="6"/>
    </w:pPr>
    <w:rPr>
      <w:b/>
      <w:bCs/>
      <w:sz w:val="28"/>
      <w:szCs w:val="28"/>
      <w:lang w:eastAsia="en-US"/>
    </w:rPr>
  </w:style>
  <w:style w:type="paragraph" w:styleId="Heading8">
    <w:name w:val="heading 8"/>
    <w:basedOn w:val="Normal"/>
    <w:next w:val="Normal"/>
    <w:qFormat/>
    <w:pPr>
      <w:keepNext/>
      <w:outlineLvl w:val="7"/>
    </w:pPr>
    <w:rPr>
      <w:b/>
      <w:bCs/>
    </w:rPr>
  </w:style>
  <w:style w:type="paragraph" w:styleId="Heading9">
    <w:name w:val="heading 9"/>
    <w:basedOn w:val="Normal"/>
    <w:next w:val="Normal"/>
    <w:qFormat/>
    <w:pPr>
      <w:keepNext/>
      <w:outlineLvl w:val="8"/>
    </w:pPr>
    <w:rPr>
      <w:b/>
      <w:bC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style>
  <w:style w:type="paragraph" w:styleId="BodyTextIndent">
    <w:name w:val="Body Text Indent"/>
    <w:basedOn w:val="Normal"/>
    <w:pPr>
      <w:ind w:left="1106" w:hanging="1080"/>
    </w:pPr>
  </w:style>
  <w:style w:type="paragraph" w:styleId="BodyTextIndent2">
    <w:name w:val="Body Text Indent 2"/>
    <w:basedOn w:val="Normal"/>
    <w:pPr>
      <w:ind w:left="1106"/>
    </w:p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paragraph" w:styleId="BodyText2">
    <w:name w:val="Body Text 2"/>
    <w:basedOn w:val="Normal"/>
    <w:pPr>
      <w:tabs>
        <w:tab w:val="left" w:pos="926"/>
      </w:tabs>
    </w:pPr>
    <w:rPr>
      <w:szCs w:val="22"/>
      <w:lang w:eastAsia="en-US"/>
    </w:rPr>
  </w:style>
  <w:style w:type="paragraph" w:styleId="BodyTextIndent3">
    <w:name w:val="Body Text Indent 3"/>
    <w:basedOn w:val="Normal"/>
    <w:pPr>
      <w:tabs>
        <w:tab w:val="left" w:pos="926"/>
      </w:tabs>
      <w:ind w:left="360"/>
    </w:pPr>
    <w:rPr>
      <w:sz w:val="24"/>
      <w:lang w:eastAsia="en-US"/>
    </w:rPr>
  </w:style>
  <w:style w:type="paragraph" w:styleId="BodyText3">
    <w:name w:val="Body Text 3"/>
    <w:basedOn w:val="Normal"/>
    <w:rPr>
      <w:color w:val="0000FF"/>
    </w:r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customStyle="1" w:styleId="-">
    <w:name w:val="ציטוט-דר"/>
    <w:basedOn w:val="BodyTextIndent2"/>
    <w:autoRedefine/>
    <w:rsid w:val="00B52561"/>
    <w:pPr>
      <w:spacing w:after="240" w:line="240" w:lineRule="auto"/>
      <w:ind w:left="752" w:right="900"/>
    </w:pPr>
    <w:rPr>
      <w:sz w:val="24"/>
    </w:rPr>
  </w:style>
  <w:style w:type="paragraph" w:styleId="Header">
    <w:name w:val="header"/>
    <w:basedOn w:val="Normal"/>
    <w:pPr>
      <w:tabs>
        <w:tab w:val="center" w:pos="4153"/>
        <w:tab w:val="right" w:pos="8306"/>
      </w:tabs>
    </w:pPr>
  </w:style>
  <w:style w:type="character" w:styleId="PageNumber">
    <w:name w:val="page number"/>
    <w:basedOn w:val="DefaultParagraphFont"/>
  </w:style>
  <w:style w:type="paragraph" w:styleId="BalloonText">
    <w:name w:val="Balloon Text"/>
    <w:basedOn w:val="Normal"/>
    <w:semiHidden/>
    <w:rsid w:val="00317F5F"/>
    <w:rPr>
      <w:rFonts w:ascii="Tahoma" w:hAnsi="Tahoma" w:cs="Tahoma"/>
      <w:sz w:val="16"/>
      <w:szCs w:val="16"/>
    </w:rPr>
  </w:style>
  <w:style w:type="paragraph" w:styleId="Footer">
    <w:name w:val="footer"/>
    <w:basedOn w:val="Normal"/>
    <w:rsid w:val="00A9667B"/>
    <w:pPr>
      <w:tabs>
        <w:tab w:val="center" w:pos="4153"/>
        <w:tab w:val="right" w:pos="8306"/>
      </w:tabs>
    </w:pPr>
  </w:style>
  <w:style w:type="paragraph" w:styleId="TOC1">
    <w:name w:val="toc 1"/>
    <w:basedOn w:val="Normal"/>
    <w:next w:val="Normal"/>
    <w:autoRedefine/>
    <w:semiHidden/>
    <w:rsid w:val="001F2104"/>
    <w:pPr>
      <w:tabs>
        <w:tab w:val="right" w:leader="dot" w:pos="8302"/>
      </w:tabs>
    </w:pPr>
    <w:rPr>
      <w:b/>
      <w:bCs/>
      <w:noProof/>
    </w:rPr>
  </w:style>
  <w:style w:type="paragraph" w:styleId="TOC2">
    <w:name w:val="toc 2"/>
    <w:basedOn w:val="Normal"/>
    <w:next w:val="Normal"/>
    <w:autoRedefine/>
    <w:semiHidden/>
    <w:rsid w:val="008F76DA"/>
    <w:pPr>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36</Pages>
  <Words>9946</Words>
  <Characters>49735</Characters>
  <Application>Microsoft Office Word</Application>
  <DocSecurity>0</DocSecurity>
  <Lines>414</Lines>
  <Paragraphs>119</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הנחיות הממונה לגבי מיזוגי חברות לפי חוק ההגבלים העסקיים, התשמ"ח – 1988</vt:lpstr>
      <vt:lpstr>הנחיות הממונה לגבי מיזוגי חברות לפי חוק ההגבלים העסקיים, התשמ"ח – 1988</vt:lpstr>
    </vt:vector>
  </TitlesOfParts>
  <Company>Antitrust Authority</Company>
  <LinksUpToDate>false</LinksUpToDate>
  <CharactersWithSpaces>59562</CharactersWithSpaces>
  <SharedDoc>false</SharedDoc>
  <HLinks>
    <vt:vector size="162" baseType="variant">
      <vt:variant>
        <vt:i4>2031677</vt:i4>
      </vt:variant>
      <vt:variant>
        <vt:i4>158</vt:i4>
      </vt:variant>
      <vt:variant>
        <vt:i4>0</vt:i4>
      </vt:variant>
      <vt:variant>
        <vt:i4>5</vt:i4>
      </vt:variant>
      <vt:variant>
        <vt:lpwstr/>
      </vt:variant>
      <vt:variant>
        <vt:lpwstr>_Toc151956823</vt:lpwstr>
      </vt:variant>
      <vt:variant>
        <vt:i4>2031677</vt:i4>
      </vt:variant>
      <vt:variant>
        <vt:i4>152</vt:i4>
      </vt:variant>
      <vt:variant>
        <vt:i4>0</vt:i4>
      </vt:variant>
      <vt:variant>
        <vt:i4>5</vt:i4>
      </vt:variant>
      <vt:variant>
        <vt:lpwstr/>
      </vt:variant>
      <vt:variant>
        <vt:lpwstr>_Toc151956822</vt:lpwstr>
      </vt:variant>
      <vt:variant>
        <vt:i4>2031677</vt:i4>
      </vt:variant>
      <vt:variant>
        <vt:i4>146</vt:i4>
      </vt:variant>
      <vt:variant>
        <vt:i4>0</vt:i4>
      </vt:variant>
      <vt:variant>
        <vt:i4>5</vt:i4>
      </vt:variant>
      <vt:variant>
        <vt:lpwstr/>
      </vt:variant>
      <vt:variant>
        <vt:lpwstr>_Toc151956821</vt:lpwstr>
      </vt:variant>
      <vt:variant>
        <vt:i4>2031677</vt:i4>
      </vt:variant>
      <vt:variant>
        <vt:i4>140</vt:i4>
      </vt:variant>
      <vt:variant>
        <vt:i4>0</vt:i4>
      </vt:variant>
      <vt:variant>
        <vt:i4>5</vt:i4>
      </vt:variant>
      <vt:variant>
        <vt:lpwstr/>
      </vt:variant>
      <vt:variant>
        <vt:lpwstr>_Toc151956820</vt:lpwstr>
      </vt:variant>
      <vt:variant>
        <vt:i4>1835069</vt:i4>
      </vt:variant>
      <vt:variant>
        <vt:i4>134</vt:i4>
      </vt:variant>
      <vt:variant>
        <vt:i4>0</vt:i4>
      </vt:variant>
      <vt:variant>
        <vt:i4>5</vt:i4>
      </vt:variant>
      <vt:variant>
        <vt:lpwstr/>
      </vt:variant>
      <vt:variant>
        <vt:lpwstr>_Toc151956819</vt:lpwstr>
      </vt:variant>
      <vt:variant>
        <vt:i4>1835069</vt:i4>
      </vt:variant>
      <vt:variant>
        <vt:i4>128</vt:i4>
      </vt:variant>
      <vt:variant>
        <vt:i4>0</vt:i4>
      </vt:variant>
      <vt:variant>
        <vt:i4>5</vt:i4>
      </vt:variant>
      <vt:variant>
        <vt:lpwstr/>
      </vt:variant>
      <vt:variant>
        <vt:lpwstr>_Toc151956818</vt:lpwstr>
      </vt:variant>
      <vt:variant>
        <vt:i4>1835069</vt:i4>
      </vt:variant>
      <vt:variant>
        <vt:i4>122</vt:i4>
      </vt:variant>
      <vt:variant>
        <vt:i4>0</vt:i4>
      </vt:variant>
      <vt:variant>
        <vt:i4>5</vt:i4>
      </vt:variant>
      <vt:variant>
        <vt:lpwstr/>
      </vt:variant>
      <vt:variant>
        <vt:lpwstr>_Toc151956817</vt:lpwstr>
      </vt:variant>
      <vt:variant>
        <vt:i4>1835069</vt:i4>
      </vt:variant>
      <vt:variant>
        <vt:i4>116</vt:i4>
      </vt:variant>
      <vt:variant>
        <vt:i4>0</vt:i4>
      </vt:variant>
      <vt:variant>
        <vt:i4>5</vt:i4>
      </vt:variant>
      <vt:variant>
        <vt:lpwstr/>
      </vt:variant>
      <vt:variant>
        <vt:lpwstr>_Toc151956816</vt:lpwstr>
      </vt:variant>
      <vt:variant>
        <vt:i4>1835069</vt:i4>
      </vt:variant>
      <vt:variant>
        <vt:i4>110</vt:i4>
      </vt:variant>
      <vt:variant>
        <vt:i4>0</vt:i4>
      </vt:variant>
      <vt:variant>
        <vt:i4>5</vt:i4>
      </vt:variant>
      <vt:variant>
        <vt:lpwstr/>
      </vt:variant>
      <vt:variant>
        <vt:lpwstr>_Toc151956815</vt:lpwstr>
      </vt:variant>
      <vt:variant>
        <vt:i4>1835069</vt:i4>
      </vt:variant>
      <vt:variant>
        <vt:i4>104</vt:i4>
      </vt:variant>
      <vt:variant>
        <vt:i4>0</vt:i4>
      </vt:variant>
      <vt:variant>
        <vt:i4>5</vt:i4>
      </vt:variant>
      <vt:variant>
        <vt:lpwstr/>
      </vt:variant>
      <vt:variant>
        <vt:lpwstr>_Toc151956814</vt:lpwstr>
      </vt:variant>
      <vt:variant>
        <vt:i4>1835069</vt:i4>
      </vt:variant>
      <vt:variant>
        <vt:i4>98</vt:i4>
      </vt:variant>
      <vt:variant>
        <vt:i4>0</vt:i4>
      </vt:variant>
      <vt:variant>
        <vt:i4>5</vt:i4>
      </vt:variant>
      <vt:variant>
        <vt:lpwstr/>
      </vt:variant>
      <vt:variant>
        <vt:lpwstr>_Toc151956813</vt:lpwstr>
      </vt:variant>
      <vt:variant>
        <vt:i4>1835069</vt:i4>
      </vt:variant>
      <vt:variant>
        <vt:i4>92</vt:i4>
      </vt:variant>
      <vt:variant>
        <vt:i4>0</vt:i4>
      </vt:variant>
      <vt:variant>
        <vt:i4>5</vt:i4>
      </vt:variant>
      <vt:variant>
        <vt:lpwstr/>
      </vt:variant>
      <vt:variant>
        <vt:lpwstr>_Toc151956812</vt:lpwstr>
      </vt:variant>
      <vt:variant>
        <vt:i4>1835069</vt:i4>
      </vt:variant>
      <vt:variant>
        <vt:i4>86</vt:i4>
      </vt:variant>
      <vt:variant>
        <vt:i4>0</vt:i4>
      </vt:variant>
      <vt:variant>
        <vt:i4>5</vt:i4>
      </vt:variant>
      <vt:variant>
        <vt:lpwstr/>
      </vt:variant>
      <vt:variant>
        <vt:lpwstr>_Toc151956811</vt:lpwstr>
      </vt:variant>
      <vt:variant>
        <vt:i4>1835069</vt:i4>
      </vt:variant>
      <vt:variant>
        <vt:i4>80</vt:i4>
      </vt:variant>
      <vt:variant>
        <vt:i4>0</vt:i4>
      </vt:variant>
      <vt:variant>
        <vt:i4>5</vt:i4>
      </vt:variant>
      <vt:variant>
        <vt:lpwstr/>
      </vt:variant>
      <vt:variant>
        <vt:lpwstr>_Toc151956810</vt:lpwstr>
      </vt:variant>
      <vt:variant>
        <vt:i4>1900605</vt:i4>
      </vt:variant>
      <vt:variant>
        <vt:i4>74</vt:i4>
      </vt:variant>
      <vt:variant>
        <vt:i4>0</vt:i4>
      </vt:variant>
      <vt:variant>
        <vt:i4>5</vt:i4>
      </vt:variant>
      <vt:variant>
        <vt:lpwstr/>
      </vt:variant>
      <vt:variant>
        <vt:lpwstr>_Toc151956809</vt:lpwstr>
      </vt:variant>
      <vt:variant>
        <vt:i4>1900605</vt:i4>
      </vt:variant>
      <vt:variant>
        <vt:i4>68</vt:i4>
      </vt:variant>
      <vt:variant>
        <vt:i4>0</vt:i4>
      </vt:variant>
      <vt:variant>
        <vt:i4>5</vt:i4>
      </vt:variant>
      <vt:variant>
        <vt:lpwstr/>
      </vt:variant>
      <vt:variant>
        <vt:lpwstr>_Toc151956808</vt:lpwstr>
      </vt:variant>
      <vt:variant>
        <vt:i4>1900605</vt:i4>
      </vt:variant>
      <vt:variant>
        <vt:i4>62</vt:i4>
      </vt:variant>
      <vt:variant>
        <vt:i4>0</vt:i4>
      </vt:variant>
      <vt:variant>
        <vt:i4>5</vt:i4>
      </vt:variant>
      <vt:variant>
        <vt:lpwstr/>
      </vt:variant>
      <vt:variant>
        <vt:lpwstr>_Toc151956807</vt:lpwstr>
      </vt:variant>
      <vt:variant>
        <vt:i4>1900605</vt:i4>
      </vt:variant>
      <vt:variant>
        <vt:i4>56</vt:i4>
      </vt:variant>
      <vt:variant>
        <vt:i4>0</vt:i4>
      </vt:variant>
      <vt:variant>
        <vt:i4>5</vt:i4>
      </vt:variant>
      <vt:variant>
        <vt:lpwstr/>
      </vt:variant>
      <vt:variant>
        <vt:lpwstr>_Toc151956806</vt:lpwstr>
      </vt:variant>
      <vt:variant>
        <vt:i4>1900605</vt:i4>
      </vt:variant>
      <vt:variant>
        <vt:i4>50</vt:i4>
      </vt:variant>
      <vt:variant>
        <vt:i4>0</vt:i4>
      </vt:variant>
      <vt:variant>
        <vt:i4>5</vt:i4>
      </vt:variant>
      <vt:variant>
        <vt:lpwstr/>
      </vt:variant>
      <vt:variant>
        <vt:lpwstr>_Toc151956805</vt:lpwstr>
      </vt:variant>
      <vt:variant>
        <vt:i4>1900605</vt:i4>
      </vt:variant>
      <vt:variant>
        <vt:i4>44</vt:i4>
      </vt:variant>
      <vt:variant>
        <vt:i4>0</vt:i4>
      </vt:variant>
      <vt:variant>
        <vt:i4>5</vt:i4>
      </vt:variant>
      <vt:variant>
        <vt:lpwstr/>
      </vt:variant>
      <vt:variant>
        <vt:lpwstr>_Toc151956804</vt:lpwstr>
      </vt:variant>
      <vt:variant>
        <vt:i4>1900605</vt:i4>
      </vt:variant>
      <vt:variant>
        <vt:i4>38</vt:i4>
      </vt:variant>
      <vt:variant>
        <vt:i4>0</vt:i4>
      </vt:variant>
      <vt:variant>
        <vt:i4>5</vt:i4>
      </vt:variant>
      <vt:variant>
        <vt:lpwstr/>
      </vt:variant>
      <vt:variant>
        <vt:lpwstr>_Toc151956803</vt:lpwstr>
      </vt:variant>
      <vt:variant>
        <vt:i4>1900605</vt:i4>
      </vt:variant>
      <vt:variant>
        <vt:i4>32</vt:i4>
      </vt:variant>
      <vt:variant>
        <vt:i4>0</vt:i4>
      </vt:variant>
      <vt:variant>
        <vt:i4>5</vt:i4>
      </vt:variant>
      <vt:variant>
        <vt:lpwstr/>
      </vt:variant>
      <vt:variant>
        <vt:lpwstr>_Toc151956802</vt:lpwstr>
      </vt:variant>
      <vt:variant>
        <vt:i4>1900605</vt:i4>
      </vt:variant>
      <vt:variant>
        <vt:i4>26</vt:i4>
      </vt:variant>
      <vt:variant>
        <vt:i4>0</vt:i4>
      </vt:variant>
      <vt:variant>
        <vt:i4>5</vt:i4>
      </vt:variant>
      <vt:variant>
        <vt:lpwstr/>
      </vt:variant>
      <vt:variant>
        <vt:lpwstr>_Toc151956801</vt:lpwstr>
      </vt:variant>
      <vt:variant>
        <vt:i4>1900605</vt:i4>
      </vt:variant>
      <vt:variant>
        <vt:i4>20</vt:i4>
      </vt:variant>
      <vt:variant>
        <vt:i4>0</vt:i4>
      </vt:variant>
      <vt:variant>
        <vt:i4>5</vt:i4>
      </vt:variant>
      <vt:variant>
        <vt:lpwstr/>
      </vt:variant>
      <vt:variant>
        <vt:lpwstr>_Toc151956800</vt:lpwstr>
      </vt:variant>
      <vt:variant>
        <vt:i4>1310770</vt:i4>
      </vt:variant>
      <vt:variant>
        <vt:i4>14</vt:i4>
      </vt:variant>
      <vt:variant>
        <vt:i4>0</vt:i4>
      </vt:variant>
      <vt:variant>
        <vt:i4>5</vt:i4>
      </vt:variant>
      <vt:variant>
        <vt:lpwstr/>
      </vt:variant>
      <vt:variant>
        <vt:lpwstr>_Toc151956799</vt:lpwstr>
      </vt:variant>
      <vt:variant>
        <vt:i4>1310770</vt:i4>
      </vt:variant>
      <vt:variant>
        <vt:i4>8</vt:i4>
      </vt:variant>
      <vt:variant>
        <vt:i4>0</vt:i4>
      </vt:variant>
      <vt:variant>
        <vt:i4>5</vt:i4>
      </vt:variant>
      <vt:variant>
        <vt:lpwstr/>
      </vt:variant>
      <vt:variant>
        <vt:lpwstr>_Toc151956798</vt:lpwstr>
      </vt:variant>
      <vt:variant>
        <vt:i4>1310770</vt:i4>
      </vt:variant>
      <vt:variant>
        <vt:i4>2</vt:i4>
      </vt:variant>
      <vt:variant>
        <vt:i4>0</vt:i4>
      </vt:variant>
      <vt:variant>
        <vt:i4>5</vt:i4>
      </vt:variant>
      <vt:variant>
        <vt:lpwstr/>
      </vt:variant>
      <vt:variant>
        <vt:lpwstr>_Toc151956797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הנחיות הממונה לגבי מיזוגי חברות לפי חוק ההגבלים העסקיים, התשמ"ח – 1988</dc:title>
  <dc:subject/>
  <dc:creator>שיב</dc:creator>
  <cp:keywords/>
  <cp:lastModifiedBy>Melita Shafir</cp:lastModifiedBy>
  <cp:revision>2</cp:revision>
  <cp:lastPrinted>2007-11-22T16:31:00Z</cp:lastPrinted>
  <dcterms:created xsi:type="dcterms:W3CDTF">2019-07-08T09:14:00Z</dcterms:created>
  <dcterms:modified xsi:type="dcterms:W3CDTF">2019-07-08T09:14:00Z</dcterms:modified>
</cp:coreProperties>
</file>